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0939" w:rsidR="00F8251F" w:rsidRDefault="00343465" w14:paraId="0CFE96A8" w14:textId="32FCB58D">
      <w:pPr>
        <w:pStyle w:val="Heading1"/>
        <w:rPr>
          <w:lang w:val="fr-CA"/>
        </w:rPr>
      </w:pPr>
      <w:r>
        <w:rPr>
          <w:lang w:val="fr"/>
        </w:rPr>
        <w:t>Législations provinciales sur l’accessibilité au Canada CAD-ASC</w:t>
      </w:r>
    </w:p>
    <w:p w:rsidRPr="007F0939" w:rsidR="00F8251F" w:rsidRDefault="00F8251F" w14:paraId="1DE65B96" w14:textId="77777777">
      <w:pPr>
        <w:rPr>
          <w:lang w:val="fr-CA"/>
        </w:rPr>
      </w:pPr>
    </w:p>
    <w:tbl>
      <w:tblPr>
        <w:tblStyle w:val="a0"/>
        <w:tblW w:w="1345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216"/>
        <w:gridCol w:w="5289"/>
        <w:gridCol w:w="3119"/>
        <w:gridCol w:w="1559"/>
        <w:gridCol w:w="1276"/>
      </w:tblGrid>
      <w:tr w:rsidR="00F8251F" w:rsidTr="1C8ECB69" w14:paraId="089F9405" w14:textId="77777777">
        <w:trPr>
          <w:trHeight w:val="315"/>
        </w:trPr>
        <w:tc>
          <w:tcPr>
            <w:tcW w:w="2216" w:type="dxa"/>
            <w:shd w:val="clear" w:color="auto" w:fill="FFFF00"/>
            <w:tcMar>
              <w:top w:w="40" w:type="dxa"/>
              <w:left w:w="40" w:type="dxa"/>
              <w:bottom w:w="40" w:type="dxa"/>
              <w:right w:w="40" w:type="dxa"/>
            </w:tcMar>
            <w:vAlign w:val="bottom"/>
          </w:tcPr>
          <w:p w:rsidR="00F8251F" w:rsidRDefault="00343465" w14:paraId="295457F2" w14:textId="77777777">
            <w:pPr>
              <w:widowControl w:val="0"/>
              <w:rPr>
                <w:sz w:val="20"/>
                <w:szCs w:val="20"/>
              </w:rPr>
            </w:pPr>
            <w:r>
              <w:rPr>
                <w:sz w:val="20"/>
                <w:szCs w:val="20"/>
                <w:lang w:val="fr"/>
              </w:rPr>
              <w:t>Province/Territoire</w:t>
            </w:r>
          </w:p>
        </w:tc>
        <w:tc>
          <w:tcPr>
            <w:tcW w:w="5289" w:type="dxa"/>
            <w:shd w:val="clear" w:color="auto" w:fill="FFFF00"/>
            <w:tcMar>
              <w:top w:w="40" w:type="dxa"/>
              <w:left w:w="40" w:type="dxa"/>
              <w:bottom w:w="40" w:type="dxa"/>
              <w:right w:w="40" w:type="dxa"/>
            </w:tcMar>
            <w:vAlign w:val="bottom"/>
          </w:tcPr>
          <w:p w:rsidR="00F8251F" w:rsidRDefault="00343465" w14:paraId="23BE9936" w14:textId="77777777">
            <w:pPr>
              <w:widowControl w:val="0"/>
              <w:rPr>
                <w:sz w:val="20"/>
                <w:szCs w:val="20"/>
              </w:rPr>
            </w:pPr>
            <w:r>
              <w:rPr>
                <w:sz w:val="20"/>
                <w:szCs w:val="20"/>
                <w:lang w:val="fr"/>
              </w:rPr>
              <w:t>Nom de la législation</w:t>
            </w:r>
          </w:p>
        </w:tc>
        <w:tc>
          <w:tcPr>
            <w:tcW w:w="3119" w:type="dxa"/>
            <w:shd w:val="clear" w:color="auto" w:fill="FFFF00"/>
            <w:tcMar/>
          </w:tcPr>
          <w:p w:rsidR="00F8251F" w:rsidRDefault="00F8251F" w14:paraId="62086C3B" w14:textId="77777777">
            <w:pPr>
              <w:widowControl w:val="0"/>
              <w:rPr>
                <w:sz w:val="20"/>
                <w:szCs w:val="20"/>
              </w:rPr>
            </w:pPr>
          </w:p>
          <w:p w:rsidR="00F8251F" w:rsidRDefault="00343465" w14:paraId="782CF570" w14:textId="77777777">
            <w:pPr>
              <w:jc w:val="both"/>
              <w:rPr>
                <w:b/>
                <w:sz w:val="20"/>
                <w:szCs w:val="20"/>
              </w:rPr>
            </w:pPr>
            <w:r>
              <w:rPr>
                <w:b/>
                <w:sz w:val="20"/>
                <w:szCs w:val="20"/>
                <w:lang w:val="fr"/>
              </w:rPr>
              <w:t>Commentaire</w:t>
            </w:r>
          </w:p>
        </w:tc>
        <w:tc>
          <w:tcPr>
            <w:tcW w:w="1559" w:type="dxa"/>
            <w:shd w:val="clear" w:color="auto" w:fill="FFFF00"/>
            <w:tcMar>
              <w:top w:w="40" w:type="dxa"/>
              <w:left w:w="40" w:type="dxa"/>
              <w:bottom w:w="40" w:type="dxa"/>
              <w:right w:w="40" w:type="dxa"/>
            </w:tcMar>
            <w:vAlign w:val="bottom"/>
          </w:tcPr>
          <w:p w:rsidR="00F8251F" w:rsidRDefault="00343465" w14:paraId="6FD0BA01" w14:textId="77777777">
            <w:pPr>
              <w:widowControl w:val="0"/>
              <w:rPr>
                <w:sz w:val="20"/>
                <w:szCs w:val="20"/>
              </w:rPr>
            </w:pPr>
            <w:r>
              <w:rPr>
                <w:sz w:val="20"/>
                <w:szCs w:val="20"/>
                <w:lang w:val="fr"/>
              </w:rPr>
              <w:t>Étape</w:t>
            </w:r>
          </w:p>
        </w:tc>
        <w:tc>
          <w:tcPr>
            <w:tcW w:w="1276" w:type="dxa"/>
            <w:shd w:val="clear" w:color="auto" w:fill="FFFF00"/>
            <w:tcMar>
              <w:top w:w="40" w:type="dxa"/>
              <w:left w:w="40" w:type="dxa"/>
              <w:bottom w:w="40" w:type="dxa"/>
              <w:right w:w="40" w:type="dxa"/>
            </w:tcMar>
            <w:vAlign w:val="bottom"/>
          </w:tcPr>
          <w:p w:rsidR="00F8251F" w:rsidRDefault="00343465" w14:paraId="357C9CFE" w14:textId="77777777">
            <w:pPr>
              <w:widowControl w:val="0"/>
              <w:rPr>
                <w:sz w:val="20"/>
                <w:szCs w:val="20"/>
              </w:rPr>
            </w:pPr>
            <w:r>
              <w:rPr>
                <w:sz w:val="20"/>
                <w:szCs w:val="20"/>
                <w:lang w:val="fr"/>
              </w:rPr>
              <w:t>Année (en vigueur)</w:t>
            </w:r>
          </w:p>
        </w:tc>
      </w:tr>
      <w:tr w:rsidR="00F8251F" w:rsidTr="1C8ECB69" w14:paraId="41BEF6D9" w14:textId="77777777">
        <w:trPr>
          <w:trHeight w:val="315"/>
        </w:trPr>
        <w:tc>
          <w:tcPr>
            <w:tcW w:w="2216" w:type="dxa"/>
            <w:tcMar>
              <w:top w:w="40" w:type="dxa"/>
              <w:left w:w="40" w:type="dxa"/>
              <w:bottom w:w="40" w:type="dxa"/>
              <w:right w:w="40" w:type="dxa"/>
            </w:tcMar>
            <w:vAlign w:val="bottom"/>
          </w:tcPr>
          <w:p w:rsidR="00F8251F" w:rsidRDefault="00343465" w14:paraId="6CFE2BD3" w14:textId="77777777">
            <w:pPr>
              <w:widowControl w:val="0"/>
              <w:rPr>
                <w:sz w:val="20"/>
                <w:szCs w:val="20"/>
              </w:rPr>
            </w:pPr>
            <w:r>
              <w:rPr>
                <w:sz w:val="20"/>
                <w:szCs w:val="20"/>
                <w:lang w:val="fr"/>
              </w:rPr>
              <w:t>Colombie-Britannique</w:t>
            </w:r>
          </w:p>
        </w:tc>
        <w:tc>
          <w:tcPr>
            <w:tcW w:w="5289" w:type="dxa"/>
            <w:tcMar>
              <w:top w:w="40" w:type="dxa"/>
              <w:left w:w="40" w:type="dxa"/>
              <w:bottom w:w="40" w:type="dxa"/>
              <w:right w:w="40" w:type="dxa"/>
            </w:tcMar>
            <w:vAlign w:val="bottom"/>
          </w:tcPr>
          <w:p w:rsidRPr="007F0939" w:rsidR="00F8251F" w:rsidRDefault="00000000" w14:paraId="6DE43DB4" w14:textId="77777777">
            <w:pPr>
              <w:widowControl w:val="0"/>
              <w:rPr>
                <w:sz w:val="20"/>
                <w:szCs w:val="20"/>
                <w:lang w:val="fr-CA"/>
              </w:rPr>
            </w:pPr>
            <w:hyperlink r:id="rId8">
              <w:r w:rsidR="00343465">
                <w:rPr>
                  <w:color w:val="0000FF"/>
                  <w:sz w:val="20"/>
                  <w:szCs w:val="20"/>
                  <w:u w:val="single"/>
                  <w:lang w:val="fr"/>
                </w:rPr>
                <w:t xml:space="preserve">Accessibilité C.-B. </w:t>
              </w:r>
              <w:proofErr w:type="spellStart"/>
              <w:r w:rsidR="00343465">
                <w:rPr>
                  <w:color w:val="0000FF"/>
                  <w:sz w:val="20"/>
                  <w:szCs w:val="20"/>
                  <w:u w:val="single"/>
                  <w:lang w:val="fr"/>
                </w:rPr>
                <w:t>Ac</w:t>
              </w:r>
            </w:hyperlink>
            <w:hyperlink r:id="rId9">
              <w:r w:rsidR="00343465">
                <w:rPr>
                  <w:color w:val="0000FF"/>
                  <w:sz w:val="20"/>
                  <w:szCs w:val="20"/>
                  <w:u w:val="single"/>
                  <w:lang w:val="fr"/>
                </w:rPr>
                <w:t>t</w:t>
              </w:r>
              <w:proofErr w:type="spellEnd"/>
            </w:hyperlink>
            <w:hyperlink r:id="rId10">
              <w:r w:rsidR="00343465">
                <w:rPr>
                  <w:color w:val="0000FF"/>
                  <w:sz w:val="20"/>
                  <w:szCs w:val="20"/>
                  <w:u w:val="single"/>
                  <w:lang w:val="fr"/>
                </w:rPr>
                <w:t xml:space="preserve"> (ABCA)</w:t>
              </w:r>
            </w:hyperlink>
          </w:p>
        </w:tc>
        <w:tc>
          <w:tcPr>
            <w:tcW w:w="3119" w:type="dxa"/>
            <w:shd w:val="clear" w:color="auto" w:fill="FBBC04"/>
            <w:tcMar/>
          </w:tcPr>
          <w:p w:rsidRPr="007F0939" w:rsidR="00F8251F" w:rsidRDefault="00343465" w14:paraId="68200C90" w14:textId="22AF2E2F">
            <w:pPr>
              <w:widowControl w:val="0"/>
              <w:rPr>
                <w:sz w:val="20"/>
                <w:szCs w:val="20"/>
                <w:lang w:val="fr-CA"/>
              </w:rPr>
            </w:pPr>
            <w:r>
              <w:rPr>
                <w:sz w:val="20"/>
                <w:szCs w:val="20"/>
                <w:lang w:val="fr"/>
              </w:rPr>
              <w:t xml:space="preserve">Reconnaître officiellement les langues des signes (ASL et ISL) comme langues principales pour les Sourds, </w:t>
            </w:r>
            <w:r w:rsidR="00657FAA">
              <w:rPr>
                <w:sz w:val="20"/>
                <w:szCs w:val="20"/>
                <w:lang w:val="fr"/>
              </w:rPr>
              <w:t>mais pas pour la LSQ</w:t>
            </w:r>
          </w:p>
        </w:tc>
        <w:tc>
          <w:tcPr>
            <w:tcW w:w="1559" w:type="dxa"/>
            <w:shd w:val="clear" w:color="auto" w:fill="FBBC04"/>
            <w:tcMar>
              <w:top w:w="40" w:type="dxa"/>
              <w:left w:w="40" w:type="dxa"/>
              <w:bottom w:w="40" w:type="dxa"/>
              <w:right w:w="40" w:type="dxa"/>
            </w:tcMar>
            <w:vAlign w:val="bottom"/>
          </w:tcPr>
          <w:p w:rsidR="00F8251F" w:rsidRDefault="00343465" w14:paraId="308ED8FD" w14:textId="77777777">
            <w:pPr>
              <w:widowControl w:val="0"/>
              <w:rPr>
                <w:sz w:val="20"/>
                <w:szCs w:val="20"/>
              </w:rPr>
            </w:pPr>
            <w:r>
              <w:rPr>
                <w:sz w:val="20"/>
                <w:szCs w:val="20"/>
                <w:lang w:val="fr"/>
              </w:rPr>
              <w:t>Édicté</w:t>
            </w:r>
          </w:p>
        </w:tc>
        <w:tc>
          <w:tcPr>
            <w:tcW w:w="1276" w:type="dxa"/>
            <w:tcMar>
              <w:top w:w="40" w:type="dxa"/>
              <w:left w:w="40" w:type="dxa"/>
              <w:bottom w:w="40" w:type="dxa"/>
              <w:right w:w="40" w:type="dxa"/>
            </w:tcMar>
            <w:vAlign w:val="bottom"/>
          </w:tcPr>
          <w:p w:rsidR="00F8251F" w:rsidRDefault="00343465" w14:paraId="7327323B" w14:textId="77777777">
            <w:pPr>
              <w:widowControl w:val="0"/>
              <w:jc w:val="right"/>
              <w:rPr>
                <w:sz w:val="20"/>
                <w:szCs w:val="20"/>
              </w:rPr>
            </w:pPr>
            <w:r>
              <w:rPr>
                <w:color w:val="000000"/>
                <w:sz w:val="20"/>
                <w:szCs w:val="20"/>
                <w:highlight w:val="white"/>
                <w:lang w:val="fr"/>
              </w:rPr>
              <w:t>17 juin 2021</w:t>
            </w:r>
          </w:p>
        </w:tc>
      </w:tr>
      <w:tr w:rsidR="00F8251F" w:rsidTr="1C8ECB69" w14:paraId="1337CDD5" w14:textId="77777777">
        <w:trPr>
          <w:trHeight w:val="315"/>
        </w:trPr>
        <w:tc>
          <w:tcPr>
            <w:tcW w:w="2216" w:type="dxa"/>
            <w:tcMar>
              <w:top w:w="40" w:type="dxa"/>
              <w:left w:w="40" w:type="dxa"/>
              <w:bottom w:w="40" w:type="dxa"/>
              <w:right w:w="40" w:type="dxa"/>
            </w:tcMar>
            <w:vAlign w:val="bottom"/>
          </w:tcPr>
          <w:p w:rsidR="00F8251F" w:rsidRDefault="00343465" w14:paraId="5610AE95" w14:textId="77777777">
            <w:pPr>
              <w:widowControl w:val="0"/>
              <w:rPr>
                <w:sz w:val="20"/>
                <w:szCs w:val="20"/>
              </w:rPr>
            </w:pPr>
            <w:r>
              <w:rPr>
                <w:sz w:val="20"/>
                <w:szCs w:val="20"/>
                <w:lang w:val="fr"/>
              </w:rPr>
              <w:t>Alberta</w:t>
            </w:r>
          </w:p>
        </w:tc>
        <w:tc>
          <w:tcPr>
            <w:tcW w:w="5289" w:type="dxa"/>
            <w:tcMar>
              <w:top w:w="40" w:type="dxa"/>
              <w:left w:w="40" w:type="dxa"/>
              <w:bottom w:w="40" w:type="dxa"/>
              <w:right w:w="40" w:type="dxa"/>
            </w:tcMar>
            <w:vAlign w:val="bottom"/>
          </w:tcPr>
          <w:p w:rsidR="00F8251F" w:rsidRDefault="00F8251F" w14:paraId="59067C78" w14:textId="77777777">
            <w:pPr>
              <w:widowControl w:val="0"/>
              <w:rPr>
                <w:sz w:val="20"/>
                <w:szCs w:val="20"/>
              </w:rPr>
            </w:pPr>
          </w:p>
        </w:tc>
        <w:tc>
          <w:tcPr>
            <w:tcW w:w="3119" w:type="dxa"/>
            <w:shd w:val="clear" w:color="auto" w:fill="FF6D01"/>
            <w:tcMar/>
          </w:tcPr>
          <w:p w:rsidR="00F8251F" w:rsidRDefault="00F8251F" w14:paraId="68E1E879" w14:textId="77777777">
            <w:pPr>
              <w:widowControl w:val="0"/>
              <w:rPr>
                <w:sz w:val="20"/>
                <w:szCs w:val="20"/>
              </w:rPr>
            </w:pPr>
          </w:p>
        </w:tc>
        <w:tc>
          <w:tcPr>
            <w:tcW w:w="1559" w:type="dxa"/>
            <w:shd w:val="clear" w:color="auto" w:fill="FF6D01"/>
            <w:tcMar>
              <w:top w:w="40" w:type="dxa"/>
              <w:left w:w="40" w:type="dxa"/>
              <w:bottom w:w="40" w:type="dxa"/>
              <w:right w:w="40" w:type="dxa"/>
            </w:tcMar>
            <w:vAlign w:val="bottom"/>
          </w:tcPr>
          <w:p w:rsidR="00F8251F" w:rsidRDefault="00343465" w14:paraId="3DA064D7" w14:textId="77777777">
            <w:pPr>
              <w:widowControl w:val="0"/>
              <w:rPr>
                <w:sz w:val="20"/>
                <w:szCs w:val="20"/>
              </w:rPr>
            </w:pPr>
            <w:r>
              <w:rPr>
                <w:sz w:val="20"/>
                <w:szCs w:val="20"/>
                <w:lang w:val="fr"/>
              </w:rPr>
              <w:t>Non démarré</w:t>
            </w:r>
          </w:p>
        </w:tc>
        <w:tc>
          <w:tcPr>
            <w:tcW w:w="1276" w:type="dxa"/>
            <w:tcMar>
              <w:top w:w="40" w:type="dxa"/>
              <w:left w:w="40" w:type="dxa"/>
              <w:bottom w:w="40" w:type="dxa"/>
              <w:right w:w="40" w:type="dxa"/>
            </w:tcMar>
            <w:vAlign w:val="bottom"/>
          </w:tcPr>
          <w:p w:rsidR="00F8251F" w:rsidRDefault="00F8251F" w14:paraId="4D4961BF" w14:textId="77777777">
            <w:pPr>
              <w:widowControl w:val="0"/>
              <w:rPr>
                <w:sz w:val="20"/>
                <w:szCs w:val="20"/>
              </w:rPr>
            </w:pPr>
          </w:p>
        </w:tc>
      </w:tr>
      <w:tr w:rsidR="00F8251F" w:rsidTr="1C8ECB69" w14:paraId="26FD6491" w14:textId="77777777">
        <w:trPr>
          <w:trHeight w:val="315"/>
        </w:trPr>
        <w:tc>
          <w:tcPr>
            <w:tcW w:w="2216" w:type="dxa"/>
            <w:tcMar>
              <w:top w:w="40" w:type="dxa"/>
              <w:left w:w="40" w:type="dxa"/>
              <w:bottom w:w="40" w:type="dxa"/>
              <w:right w:w="40" w:type="dxa"/>
            </w:tcMar>
            <w:vAlign w:val="bottom"/>
          </w:tcPr>
          <w:p w:rsidR="00F8251F" w:rsidRDefault="00343465" w14:paraId="5EE01801" w14:textId="77777777">
            <w:pPr>
              <w:widowControl w:val="0"/>
              <w:rPr>
                <w:sz w:val="20"/>
                <w:szCs w:val="20"/>
              </w:rPr>
            </w:pPr>
            <w:r>
              <w:rPr>
                <w:sz w:val="20"/>
                <w:szCs w:val="20"/>
                <w:lang w:val="fr"/>
              </w:rPr>
              <w:t>Saskatchewan</w:t>
            </w:r>
          </w:p>
        </w:tc>
        <w:tc>
          <w:tcPr>
            <w:tcW w:w="5289" w:type="dxa"/>
            <w:tcMar>
              <w:top w:w="40" w:type="dxa"/>
              <w:left w:w="40" w:type="dxa"/>
              <w:bottom w:w="40" w:type="dxa"/>
              <w:right w:w="40" w:type="dxa"/>
            </w:tcMar>
            <w:vAlign w:val="bottom"/>
          </w:tcPr>
          <w:p w:rsidRPr="007F0939" w:rsidR="00F8251F" w:rsidRDefault="00000000" w14:paraId="5605BDF9" w14:textId="77777777">
            <w:pPr>
              <w:widowControl w:val="0"/>
              <w:rPr>
                <w:sz w:val="20"/>
                <w:szCs w:val="20"/>
                <w:lang w:val="fr-CA"/>
              </w:rPr>
            </w:pPr>
            <w:hyperlink r:id="rId11">
              <w:r w:rsidR="00343465">
                <w:rPr>
                  <w:color w:val="1155CC"/>
                  <w:sz w:val="20"/>
                  <w:szCs w:val="20"/>
                  <w:u w:val="single"/>
                  <w:lang w:val="fr"/>
                </w:rPr>
                <w:t xml:space="preserve">Loi sur l’accessibilité à </w:t>
              </w:r>
              <w:proofErr w:type="spellStart"/>
              <w:r w:rsidR="00343465">
                <w:rPr>
                  <w:color w:val="1155CC"/>
                  <w:sz w:val="20"/>
                  <w:szCs w:val="20"/>
                  <w:u w:val="single"/>
                  <w:lang w:val="fr"/>
                </w:rPr>
                <w:t>Saskatchewa</w:t>
              </w:r>
              <w:proofErr w:type="spellEnd"/>
            </w:hyperlink>
            <w:hyperlink r:id="rId12">
              <w:r w:rsidR="00343465">
                <w:rPr>
                  <w:color w:val="1155CC"/>
                  <w:sz w:val="20"/>
                  <w:szCs w:val="20"/>
                  <w:u w:val="single"/>
                  <w:lang w:val="fr"/>
                </w:rPr>
                <w:t>(</w:t>
              </w:r>
            </w:hyperlink>
            <w:hyperlink r:id="rId13">
              <w:r w:rsidR="00343465">
                <w:rPr>
                  <w:color w:val="1155CC"/>
                  <w:sz w:val="20"/>
                  <w:szCs w:val="20"/>
                  <w:u w:val="single"/>
                  <w:lang w:val="fr"/>
                </w:rPr>
                <w:t xml:space="preserve"> LSA)</w:t>
              </w:r>
            </w:hyperlink>
          </w:p>
        </w:tc>
        <w:tc>
          <w:tcPr>
            <w:tcW w:w="3119" w:type="dxa"/>
            <w:shd w:val="clear" w:color="auto" w:fill="00FF00"/>
            <w:tcMar/>
          </w:tcPr>
          <w:p w:rsidRPr="007F0939" w:rsidR="00F8251F" w:rsidRDefault="00000000" w14:paraId="3555CA9B" w14:textId="029A95BF">
            <w:pPr>
              <w:widowControl w:val="0"/>
              <w:rPr>
                <w:sz w:val="20"/>
                <w:szCs w:val="20"/>
                <w:lang w:val="fr-CA"/>
              </w:rPr>
            </w:pPr>
            <w:hyperlink w:history="1" r:id="rId14">
              <w:r w:rsidRPr="00271798" w:rsidR="00271798">
                <w:rPr>
                  <w:rStyle w:val="Hyperlink"/>
                  <w:sz w:val="20"/>
                  <w:szCs w:val="20"/>
                  <w:lang w:val="fr"/>
                </w:rPr>
                <w:t>Résumé du projet de loi – version ASL</w:t>
              </w:r>
            </w:hyperlink>
          </w:p>
        </w:tc>
        <w:tc>
          <w:tcPr>
            <w:tcW w:w="1559" w:type="dxa"/>
            <w:shd w:val="clear" w:color="auto" w:fill="00FF00"/>
            <w:tcMar>
              <w:top w:w="40" w:type="dxa"/>
              <w:left w:w="40" w:type="dxa"/>
              <w:bottom w:w="40" w:type="dxa"/>
              <w:right w:w="40" w:type="dxa"/>
            </w:tcMar>
            <w:vAlign w:val="bottom"/>
          </w:tcPr>
          <w:p w:rsidR="00F8251F" w:rsidRDefault="00343465" w14:paraId="374A6B49" w14:textId="77777777">
            <w:pPr>
              <w:widowControl w:val="0"/>
              <w:rPr>
                <w:sz w:val="20"/>
                <w:szCs w:val="20"/>
              </w:rPr>
            </w:pPr>
            <w:r>
              <w:rPr>
                <w:sz w:val="20"/>
                <w:szCs w:val="20"/>
                <w:lang w:val="fr"/>
              </w:rPr>
              <w:t>En cours</w:t>
            </w:r>
          </w:p>
        </w:tc>
        <w:tc>
          <w:tcPr>
            <w:tcW w:w="1276" w:type="dxa"/>
            <w:tcMar>
              <w:top w:w="40" w:type="dxa"/>
              <w:left w:w="40" w:type="dxa"/>
              <w:bottom w:w="40" w:type="dxa"/>
              <w:right w:w="40" w:type="dxa"/>
            </w:tcMar>
            <w:vAlign w:val="bottom"/>
          </w:tcPr>
          <w:p w:rsidR="00F8251F" w:rsidRDefault="00271798" w14:paraId="3D02943B" w14:textId="5C1A89BE">
            <w:pPr>
              <w:widowControl w:val="0"/>
              <w:rPr>
                <w:sz w:val="20"/>
                <w:szCs w:val="20"/>
              </w:rPr>
            </w:pPr>
            <w:r>
              <w:rPr>
                <w:sz w:val="20"/>
                <w:szCs w:val="20"/>
                <w:lang w:val="fr"/>
              </w:rPr>
              <w:t>Présenté le 12 novembre 2022</w:t>
            </w:r>
          </w:p>
        </w:tc>
      </w:tr>
      <w:tr w:rsidR="00F8251F" w:rsidTr="1C8ECB69" w14:paraId="6826F9A3" w14:textId="77777777">
        <w:trPr>
          <w:trHeight w:val="315"/>
        </w:trPr>
        <w:tc>
          <w:tcPr>
            <w:tcW w:w="2216" w:type="dxa"/>
            <w:tcMar>
              <w:top w:w="40" w:type="dxa"/>
              <w:left w:w="40" w:type="dxa"/>
              <w:bottom w:w="40" w:type="dxa"/>
              <w:right w:w="40" w:type="dxa"/>
            </w:tcMar>
            <w:vAlign w:val="bottom"/>
          </w:tcPr>
          <w:p w:rsidR="00F8251F" w:rsidRDefault="00343465" w14:paraId="6207CCF0" w14:textId="77777777">
            <w:pPr>
              <w:widowControl w:val="0"/>
              <w:rPr>
                <w:sz w:val="20"/>
                <w:szCs w:val="20"/>
              </w:rPr>
            </w:pPr>
            <w:r>
              <w:rPr>
                <w:sz w:val="20"/>
                <w:szCs w:val="20"/>
                <w:lang w:val="fr"/>
              </w:rPr>
              <w:t>Manitoba</w:t>
            </w:r>
          </w:p>
        </w:tc>
        <w:tc>
          <w:tcPr>
            <w:tcW w:w="5289" w:type="dxa"/>
            <w:tcMar>
              <w:top w:w="40" w:type="dxa"/>
              <w:left w:w="40" w:type="dxa"/>
              <w:bottom w:w="40" w:type="dxa"/>
              <w:right w:w="40" w:type="dxa"/>
            </w:tcMar>
            <w:vAlign w:val="bottom"/>
          </w:tcPr>
          <w:p w:rsidRPr="007F0939" w:rsidR="00F8251F" w:rsidRDefault="00000000" w14:paraId="604E1137" w14:textId="77777777">
            <w:pPr>
              <w:widowControl w:val="0"/>
              <w:rPr>
                <w:sz w:val="20"/>
                <w:szCs w:val="20"/>
                <w:lang w:val="fr-CA"/>
              </w:rPr>
            </w:pPr>
            <w:hyperlink r:id="rId15">
              <w:r w:rsidR="00343465">
                <w:rPr>
                  <w:color w:val="1155CC"/>
                  <w:sz w:val="20"/>
                  <w:szCs w:val="20"/>
                  <w:u w:val="single"/>
                  <w:lang w:val="fr"/>
                </w:rPr>
                <w:t>Loi sur l’accessibilité pour les Manitobains</w:t>
              </w:r>
            </w:hyperlink>
            <w:hyperlink r:id="rId16">
              <w:r w:rsidR="00343465">
                <w:rPr>
                  <w:color w:val="1155CC"/>
                  <w:sz w:val="20"/>
                  <w:szCs w:val="20"/>
                  <w:u w:val="single"/>
                  <w:lang w:val="fr"/>
                </w:rPr>
                <w:t xml:space="preserve"> (</w:t>
              </w:r>
            </w:hyperlink>
            <w:r w:rsidR="00343465">
              <w:rPr>
                <w:lang w:val="fr"/>
              </w:rPr>
              <w:t xml:space="preserve">A </w:t>
            </w:r>
            <w:hyperlink r:id="rId17">
              <w:r w:rsidR="00343465">
                <w:rPr>
                  <w:color w:val="1155CC"/>
                  <w:sz w:val="20"/>
                  <w:szCs w:val="20"/>
                  <w:u w:val="single"/>
                  <w:lang w:val="fr"/>
                </w:rPr>
                <w:t>M</w:t>
              </w:r>
            </w:hyperlink>
            <w:hyperlink r:id="rId18">
              <w:r w:rsidR="00343465">
                <w:rPr>
                  <w:color w:val="1155CC"/>
                  <w:sz w:val="20"/>
                  <w:szCs w:val="20"/>
                  <w:u w:val="single"/>
                  <w:lang w:val="fr"/>
                </w:rPr>
                <w:t>A)</w:t>
              </w:r>
            </w:hyperlink>
          </w:p>
        </w:tc>
        <w:tc>
          <w:tcPr>
            <w:tcW w:w="3119" w:type="dxa"/>
            <w:shd w:val="clear" w:color="auto" w:fill="FBBC04"/>
            <w:tcMar/>
          </w:tcPr>
          <w:p w:rsidRPr="007F0939" w:rsidR="00F8251F" w:rsidRDefault="00657FAA" w14:paraId="2DF758C0" w14:textId="23B5A679">
            <w:pPr>
              <w:widowControl w:val="0"/>
              <w:rPr>
                <w:sz w:val="20"/>
                <w:szCs w:val="20"/>
                <w:lang w:val="fr-CA"/>
              </w:rPr>
            </w:pPr>
            <w:r>
              <w:rPr>
                <w:sz w:val="20"/>
                <w:szCs w:val="20"/>
                <w:lang w:val="fr"/>
              </w:rPr>
              <w:t xml:space="preserve">Les plaintes du public sont enregistrées pour faciliter l’élaboration des normes. Les droits des citoyens en vertu de la Loi sur les droits de la personne du Manitoba ne sont pas diminués par la Loi. </w:t>
            </w:r>
          </w:p>
        </w:tc>
        <w:tc>
          <w:tcPr>
            <w:tcW w:w="1559" w:type="dxa"/>
            <w:shd w:val="clear" w:color="auto" w:fill="FBBC04"/>
            <w:tcMar>
              <w:top w:w="40" w:type="dxa"/>
              <w:left w:w="40" w:type="dxa"/>
              <w:bottom w:w="40" w:type="dxa"/>
              <w:right w:w="40" w:type="dxa"/>
            </w:tcMar>
            <w:vAlign w:val="bottom"/>
          </w:tcPr>
          <w:p w:rsidR="00F8251F" w:rsidRDefault="00343465" w14:paraId="05149B90" w14:textId="77777777">
            <w:pPr>
              <w:widowControl w:val="0"/>
              <w:rPr>
                <w:sz w:val="20"/>
                <w:szCs w:val="20"/>
              </w:rPr>
            </w:pPr>
            <w:r>
              <w:rPr>
                <w:sz w:val="20"/>
                <w:szCs w:val="20"/>
                <w:lang w:val="fr"/>
              </w:rPr>
              <w:t>Édicté</w:t>
            </w:r>
          </w:p>
        </w:tc>
        <w:tc>
          <w:tcPr>
            <w:tcW w:w="1276" w:type="dxa"/>
            <w:tcMar>
              <w:top w:w="40" w:type="dxa"/>
              <w:left w:w="40" w:type="dxa"/>
              <w:bottom w:w="40" w:type="dxa"/>
              <w:right w:w="40" w:type="dxa"/>
            </w:tcMar>
            <w:vAlign w:val="bottom"/>
          </w:tcPr>
          <w:p w:rsidR="00F8251F" w:rsidRDefault="00343465" w14:paraId="02A0A6AD" w14:textId="77777777">
            <w:pPr>
              <w:widowControl w:val="0"/>
              <w:jc w:val="right"/>
              <w:rPr>
                <w:sz w:val="20"/>
                <w:szCs w:val="20"/>
              </w:rPr>
            </w:pPr>
            <w:r>
              <w:rPr>
                <w:sz w:val="20"/>
                <w:szCs w:val="20"/>
                <w:lang w:val="fr"/>
              </w:rPr>
              <w:t xml:space="preserve"> Décembre 2013</w:t>
            </w:r>
          </w:p>
        </w:tc>
      </w:tr>
      <w:tr w:rsidR="00F8251F" w:rsidTr="1C8ECB69" w14:paraId="760E92E1" w14:textId="77777777">
        <w:trPr>
          <w:trHeight w:val="315"/>
        </w:trPr>
        <w:tc>
          <w:tcPr>
            <w:tcW w:w="2216" w:type="dxa"/>
            <w:tcMar>
              <w:top w:w="40" w:type="dxa"/>
              <w:left w:w="40" w:type="dxa"/>
              <w:bottom w:w="40" w:type="dxa"/>
              <w:right w:w="40" w:type="dxa"/>
            </w:tcMar>
            <w:vAlign w:val="bottom"/>
          </w:tcPr>
          <w:p w:rsidR="00F8251F" w:rsidRDefault="00343465" w14:paraId="3A43C44D" w14:textId="77777777">
            <w:pPr>
              <w:widowControl w:val="0"/>
              <w:rPr>
                <w:sz w:val="20"/>
                <w:szCs w:val="20"/>
              </w:rPr>
            </w:pPr>
            <w:r>
              <w:rPr>
                <w:sz w:val="20"/>
                <w:szCs w:val="20"/>
                <w:lang w:val="fr"/>
              </w:rPr>
              <w:t>Ontario</w:t>
            </w:r>
          </w:p>
        </w:tc>
        <w:tc>
          <w:tcPr>
            <w:tcW w:w="5289" w:type="dxa"/>
            <w:tcMar>
              <w:top w:w="40" w:type="dxa"/>
              <w:left w:w="40" w:type="dxa"/>
              <w:bottom w:w="40" w:type="dxa"/>
              <w:right w:w="40" w:type="dxa"/>
            </w:tcMar>
            <w:vAlign w:val="bottom"/>
          </w:tcPr>
          <w:p w:rsidRPr="007F0939" w:rsidR="00F8251F" w:rsidRDefault="00000000" w14:paraId="54CE7F89" w14:textId="77777777">
            <w:pPr>
              <w:widowControl w:val="0"/>
              <w:rPr>
                <w:sz w:val="20"/>
                <w:szCs w:val="20"/>
                <w:lang w:val="fr-CA"/>
              </w:rPr>
            </w:pPr>
            <w:hyperlink r:id="rId19">
              <w:r w:rsidR="00343465">
                <w:rPr>
                  <w:color w:val="0000FF"/>
                  <w:sz w:val="20"/>
                  <w:szCs w:val="20"/>
                  <w:u w:val="single"/>
                  <w:lang w:val="fr"/>
                </w:rPr>
                <w:t xml:space="preserve">Loi sur l’accessibilité pour les personnes handicapées </w:t>
              </w:r>
              <w:proofErr w:type="spellStart"/>
              <w:r w:rsidR="00343465">
                <w:rPr>
                  <w:color w:val="0000FF"/>
                  <w:sz w:val="20"/>
                  <w:szCs w:val="20"/>
                  <w:u w:val="single"/>
                  <w:lang w:val="fr"/>
                </w:rPr>
                <w:t>de</w:t>
              </w:r>
            </w:hyperlink>
            <w:hyperlink r:id="rId20">
              <w:r w:rsidR="00343465">
                <w:rPr>
                  <w:color w:val="0000FF"/>
                  <w:sz w:val="20"/>
                  <w:szCs w:val="20"/>
                  <w:u w:val="single"/>
                  <w:lang w:val="fr"/>
                </w:rPr>
                <w:t>l’Ontario</w:t>
              </w:r>
              <w:proofErr w:type="spellEnd"/>
            </w:hyperlink>
            <w:hyperlink r:id="rId21">
              <w:r w:rsidR="00343465">
                <w:rPr>
                  <w:color w:val="0000FF"/>
                  <w:sz w:val="20"/>
                  <w:szCs w:val="20"/>
                  <w:u w:val="single"/>
                  <w:lang w:val="fr"/>
                </w:rPr>
                <w:t xml:space="preserve"> (LAPHO)</w:t>
              </w:r>
            </w:hyperlink>
          </w:p>
        </w:tc>
        <w:tc>
          <w:tcPr>
            <w:tcW w:w="3119" w:type="dxa"/>
            <w:shd w:val="clear" w:color="auto" w:fill="FBBC04"/>
            <w:tcMar/>
          </w:tcPr>
          <w:p w:rsidRPr="007F0939" w:rsidR="00F8251F" w:rsidRDefault="00343465" w14:paraId="10FF8224" w14:textId="1D709850">
            <w:pPr>
              <w:widowControl w:val="0"/>
              <w:rPr>
                <w:sz w:val="20"/>
                <w:szCs w:val="20"/>
                <w:lang w:val="fr-CA"/>
              </w:rPr>
            </w:pPr>
            <w:r>
              <w:rPr>
                <w:sz w:val="20"/>
                <w:szCs w:val="20"/>
                <w:lang w:val="fr"/>
              </w:rPr>
              <w:t xml:space="preserve">Aucun mécanisme de plainte auprès des tribunaux pour le public </w:t>
            </w:r>
            <w:r w:rsidR="008C3754">
              <w:rPr>
                <w:sz w:val="20"/>
                <w:szCs w:val="20"/>
                <w:lang w:val="fr"/>
              </w:rPr>
              <w:t xml:space="preserve">en vertu de la LAPHO.  Les citoyens peuvent s’adresser au Tribunal des droits de la personne de l’Ontario pour déposer une plainte en vertu du </w:t>
            </w:r>
            <w:r w:rsidR="008C3754">
              <w:rPr>
                <w:sz w:val="20"/>
                <w:szCs w:val="20"/>
                <w:lang w:val="fr"/>
              </w:rPr>
              <w:lastRenderedPageBreak/>
              <w:t>Code.</w:t>
            </w:r>
          </w:p>
        </w:tc>
        <w:tc>
          <w:tcPr>
            <w:tcW w:w="1559" w:type="dxa"/>
            <w:shd w:val="clear" w:color="auto" w:fill="FBBC04"/>
            <w:tcMar>
              <w:top w:w="40" w:type="dxa"/>
              <w:left w:w="40" w:type="dxa"/>
              <w:bottom w:w="40" w:type="dxa"/>
              <w:right w:w="40" w:type="dxa"/>
            </w:tcMar>
            <w:vAlign w:val="bottom"/>
          </w:tcPr>
          <w:p w:rsidR="00F8251F" w:rsidRDefault="00343465" w14:paraId="35304A9D" w14:textId="3904DC91">
            <w:pPr>
              <w:widowControl w:val="0"/>
              <w:rPr>
                <w:sz w:val="20"/>
                <w:szCs w:val="20"/>
              </w:rPr>
            </w:pPr>
            <w:r>
              <w:rPr>
                <w:sz w:val="20"/>
                <w:szCs w:val="20"/>
                <w:lang w:val="fr"/>
              </w:rPr>
              <w:lastRenderedPageBreak/>
              <w:t>Promulguée</w:t>
            </w:r>
            <w:r w:rsidR="008C3754">
              <w:rPr>
                <w:sz w:val="20"/>
                <w:szCs w:val="20"/>
                <w:lang w:val="fr"/>
              </w:rPr>
              <w:t xml:space="preserve"> en 2005</w:t>
            </w:r>
          </w:p>
        </w:tc>
        <w:tc>
          <w:tcPr>
            <w:tcW w:w="1276" w:type="dxa"/>
            <w:tcMar>
              <w:top w:w="40" w:type="dxa"/>
              <w:left w:w="40" w:type="dxa"/>
              <w:bottom w:w="40" w:type="dxa"/>
              <w:right w:w="40" w:type="dxa"/>
            </w:tcMar>
            <w:vAlign w:val="bottom"/>
          </w:tcPr>
          <w:p w:rsidR="00F8251F" w:rsidRDefault="008C3754" w14:paraId="18AB30F8" w14:textId="582A05FD">
            <w:pPr>
              <w:widowControl w:val="0"/>
              <w:jc w:val="right"/>
              <w:rPr>
                <w:sz w:val="20"/>
                <w:szCs w:val="20"/>
              </w:rPr>
            </w:pPr>
            <w:r>
              <w:rPr>
                <w:sz w:val="20"/>
                <w:szCs w:val="20"/>
                <w:lang w:val="fr"/>
              </w:rPr>
              <w:t>Être</w:t>
            </w:r>
            <w:r w:rsidR="007F0939">
              <w:rPr>
                <w:sz w:val="20"/>
                <w:szCs w:val="20"/>
                <w:lang w:val="fr"/>
              </w:rPr>
              <w:t xml:space="preserve"> sans </w:t>
            </w:r>
            <w:r>
              <w:rPr>
                <w:sz w:val="20"/>
                <w:szCs w:val="20"/>
                <w:lang w:val="fr"/>
              </w:rPr>
              <w:t>obstacles d’ici 2025</w:t>
            </w:r>
          </w:p>
          <w:p w:rsidR="00F8251F" w:rsidRDefault="00F8251F" w14:paraId="7A825BF4" w14:textId="59FC383B">
            <w:pPr>
              <w:widowControl w:val="0"/>
              <w:jc w:val="right"/>
              <w:rPr>
                <w:sz w:val="20"/>
                <w:szCs w:val="20"/>
              </w:rPr>
            </w:pPr>
          </w:p>
        </w:tc>
      </w:tr>
      <w:tr w:rsidR="00F8251F" w:rsidTr="1C8ECB69" w14:paraId="2ABFA6CD" w14:textId="77777777">
        <w:trPr>
          <w:trHeight w:val="750"/>
        </w:trPr>
        <w:tc>
          <w:tcPr>
            <w:tcW w:w="2216" w:type="dxa"/>
            <w:tcMar>
              <w:top w:w="40" w:type="dxa"/>
              <w:left w:w="40" w:type="dxa"/>
              <w:bottom w:w="40" w:type="dxa"/>
              <w:right w:w="40" w:type="dxa"/>
            </w:tcMar>
            <w:vAlign w:val="bottom"/>
          </w:tcPr>
          <w:p w:rsidR="00F8251F" w:rsidRDefault="00343465" w14:paraId="2825A9AA" w14:textId="77777777">
            <w:pPr>
              <w:widowControl w:val="0"/>
              <w:rPr>
                <w:sz w:val="20"/>
                <w:szCs w:val="20"/>
              </w:rPr>
            </w:pPr>
            <w:r>
              <w:rPr>
                <w:sz w:val="20"/>
                <w:szCs w:val="20"/>
                <w:lang w:val="fr"/>
              </w:rPr>
              <w:t>Québec</w:t>
            </w:r>
          </w:p>
        </w:tc>
        <w:tc>
          <w:tcPr>
            <w:tcW w:w="5289" w:type="dxa"/>
            <w:tcMar>
              <w:top w:w="40" w:type="dxa"/>
              <w:left w:w="40" w:type="dxa"/>
              <w:bottom w:w="40" w:type="dxa"/>
              <w:right w:w="40" w:type="dxa"/>
            </w:tcMar>
            <w:vAlign w:val="bottom"/>
          </w:tcPr>
          <w:p w:rsidRPr="007F0939" w:rsidR="00F8251F" w:rsidRDefault="00000000" w14:paraId="47EAB633" w14:textId="77777777">
            <w:pPr>
              <w:widowControl w:val="0"/>
              <w:rPr>
                <w:sz w:val="20"/>
                <w:szCs w:val="20"/>
                <w:lang w:val="fr-CA"/>
              </w:rPr>
            </w:pPr>
            <w:hyperlink w:anchor="document" r:id="rId22">
              <w:r w:rsidR="00343465">
                <w:rPr>
                  <w:color w:val="1155CC"/>
                  <w:sz w:val="20"/>
                  <w:szCs w:val="20"/>
                  <w:u w:val="single"/>
                  <w:lang w:val="fr"/>
                </w:rPr>
                <w:t xml:space="preserve">Loi assurant </w:t>
              </w:r>
            </w:hyperlink>
            <w:hyperlink w:anchor="document" r:id="rId23">
              <w:r w:rsidR="00343465">
                <w:rPr>
                  <w:color w:val="1155CC"/>
                  <w:sz w:val="20"/>
                  <w:szCs w:val="20"/>
                  <w:u w:val="single"/>
                  <w:lang w:val="fr"/>
                </w:rPr>
                <w:t xml:space="preserve">l’exercice des droits des personnes handicapées en vue de leur intégration scolaire, professionnelle et sociale </w:t>
              </w:r>
            </w:hyperlink>
          </w:p>
        </w:tc>
        <w:tc>
          <w:tcPr>
            <w:tcW w:w="3119" w:type="dxa"/>
            <w:shd w:val="clear" w:color="auto" w:fill="FBBC04"/>
            <w:tcMar/>
          </w:tcPr>
          <w:p w:rsidRPr="007F0939" w:rsidR="00F8251F" w:rsidRDefault="00343465" w14:paraId="125C9B65" w14:textId="77777777">
            <w:pPr>
              <w:widowControl w:val="0"/>
              <w:rPr>
                <w:sz w:val="20"/>
                <w:szCs w:val="20"/>
                <w:lang w:val="fr-CA"/>
              </w:rPr>
            </w:pPr>
            <w:r>
              <w:rPr>
                <w:sz w:val="20"/>
                <w:szCs w:val="20"/>
                <w:lang w:val="fr"/>
              </w:rPr>
              <w:t>Ne touche que le gouvernement provincial</w:t>
            </w:r>
          </w:p>
        </w:tc>
        <w:tc>
          <w:tcPr>
            <w:tcW w:w="1559" w:type="dxa"/>
            <w:shd w:val="clear" w:color="auto" w:fill="FBBC04"/>
            <w:tcMar>
              <w:top w:w="40" w:type="dxa"/>
              <w:left w:w="40" w:type="dxa"/>
              <w:bottom w:w="40" w:type="dxa"/>
              <w:right w:w="40" w:type="dxa"/>
            </w:tcMar>
            <w:vAlign w:val="bottom"/>
          </w:tcPr>
          <w:p w:rsidR="00F8251F" w:rsidRDefault="00343465" w14:paraId="05C23581" w14:textId="77777777">
            <w:pPr>
              <w:widowControl w:val="0"/>
              <w:rPr>
                <w:sz w:val="20"/>
                <w:szCs w:val="20"/>
              </w:rPr>
            </w:pPr>
            <w:r>
              <w:rPr>
                <w:sz w:val="20"/>
                <w:szCs w:val="20"/>
                <w:lang w:val="fr"/>
              </w:rPr>
              <w:t>Édicté</w:t>
            </w:r>
          </w:p>
        </w:tc>
        <w:tc>
          <w:tcPr>
            <w:tcW w:w="1276" w:type="dxa"/>
            <w:tcMar>
              <w:top w:w="40" w:type="dxa"/>
              <w:left w:w="40" w:type="dxa"/>
              <w:bottom w:w="40" w:type="dxa"/>
              <w:right w:w="40" w:type="dxa"/>
            </w:tcMar>
            <w:vAlign w:val="bottom"/>
          </w:tcPr>
          <w:p w:rsidR="00F8251F" w:rsidRDefault="00343465" w14:paraId="068B581B" w14:textId="77777777">
            <w:pPr>
              <w:widowControl w:val="0"/>
              <w:jc w:val="right"/>
              <w:rPr>
                <w:sz w:val="20"/>
                <w:szCs w:val="20"/>
              </w:rPr>
            </w:pPr>
            <w:r>
              <w:rPr>
                <w:sz w:val="20"/>
                <w:szCs w:val="20"/>
                <w:lang w:val="fr"/>
              </w:rPr>
              <w:t>Révisé en 2004, 2020</w:t>
            </w:r>
          </w:p>
        </w:tc>
      </w:tr>
      <w:tr w:rsidRPr="007F0939" w:rsidR="00F8251F" w:rsidTr="1C8ECB69" w14:paraId="3C8F1C65" w14:textId="77777777">
        <w:trPr>
          <w:trHeight w:val="315"/>
        </w:trPr>
        <w:tc>
          <w:tcPr>
            <w:tcW w:w="2216" w:type="dxa"/>
            <w:tcMar>
              <w:top w:w="40" w:type="dxa"/>
              <w:left w:w="40" w:type="dxa"/>
              <w:bottom w:w="40" w:type="dxa"/>
              <w:right w:w="40" w:type="dxa"/>
            </w:tcMar>
            <w:vAlign w:val="bottom"/>
          </w:tcPr>
          <w:p w:rsidR="00F8251F" w:rsidRDefault="00343465" w14:paraId="156ED9A5" w14:textId="77777777">
            <w:pPr>
              <w:widowControl w:val="0"/>
              <w:rPr>
                <w:sz w:val="20"/>
                <w:szCs w:val="20"/>
              </w:rPr>
            </w:pPr>
            <w:r>
              <w:rPr>
                <w:sz w:val="20"/>
                <w:szCs w:val="20"/>
                <w:lang w:val="fr"/>
              </w:rPr>
              <w:t>Nouveau-Brunswick</w:t>
            </w:r>
          </w:p>
        </w:tc>
        <w:tc>
          <w:tcPr>
            <w:tcW w:w="5289" w:type="dxa"/>
            <w:tcMar>
              <w:top w:w="40" w:type="dxa"/>
              <w:left w:w="40" w:type="dxa"/>
              <w:bottom w:w="40" w:type="dxa"/>
              <w:right w:w="40" w:type="dxa"/>
            </w:tcMar>
            <w:vAlign w:val="bottom"/>
          </w:tcPr>
          <w:p w:rsidR="00F8251F" w:rsidRDefault="00000000" w14:paraId="586CE9B6" w14:textId="77777777">
            <w:pPr>
              <w:widowControl w:val="0"/>
              <w:rPr>
                <w:color w:val="1155CC"/>
                <w:sz w:val="20"/>
                <w:szCs w:val="20"/>
                <w:u w:val="single"/>
                <w:lang w:val="fr"/>
              </w:rPr>
            </w:pPr>
            <w:hyperlink r:id="rId24">
              <w:r w:rsidR="00343465">
                <w:rPr>
                  <w:color w:val="1155CC"/>
                  <w:sz w:val="20"/>
                  <w:szCs w:val="20"/>
                  <w:u w:val="single"/>
                  <w:lang w:val="fr"/>
                </w:rPr>
                <w:t>Motion 78 (Acc</w:t>
              </w:r>
            </w:hyperlink>
            <w:hyperlink r:id="rId25">
              <w:r w:rsidR="00343465">
                <w:rPr>
                  <w:color w:val="1155CC"/>
                  <w:sz w:val="20"/>
                  <w:szCs w:val="20"/>
                  <w:u w:val="single"/>
                  <w:lang w:val="fr"/>
                </w:rPr>
                <w:t>e</w:t>
              </w:r>
            </w:hyperlink>
            <w:hyperlink r:id="rId26">
              <w:r w:rsidR="00343465">
                <w:rPr>
                  <w:color w:val="1155CC"/>
                  <w:sz w:val="20"/>
                  <w:szCs w:val="20"/>
                  <w:u w:val="single"/>
                  <w:lang w:val="fr"/>
                </w:rPr>
                <w:t>ssible N</w:t>
              </w:r>
            </w:hyperlink>
            <w:hyperlink r:id="rId27">
              <w:r w:rsidR="00343465">
                <w:rPr>
                  <w:color w:val="1155CC"/>
                  <w:sz w:val="20"/>
                  <w:szCs w:val="20"/>
                  <w:u w:val="single"/>
                  <w:lang w:val="fr"/>
                </w:rPr>
                <w:t>B</w:t>
              </w:r>
            </w:hyperlink>
            <w:hyperlink r:id="rId28">
              <w:r w:rsidR="00343465">
                <w:rPr>
                  <w:color w:val="1155CC"/>
                  <w:sz w:val="20"/>
                  <w:szCs w:val="20"/>
                  <w:u w:val="single"/>
                  <w:lang w:val="fr"/>
                </w:rPr>
                <w:t>)</w:t>
              </w:r>
            </w:hyperlink>
          </w:p>
          <w:p w:rsidRPr="00F32759" w:rsidR="00F32759" w:rsidP="00F32759" w:rsidRDefault="00F32759" w14:paraId="58A05A3E" w14:textId="44834991">
            <w:pPr>
              <w:widowControl w:val="0"/>
              <w:rPr>
                <w:color w:val="1155CC"/>
                <w:sz w:val="20"/>
                <w:szCs w:val="20"/>
                <w:u w:val="single"/>
              </w:rPr>
            </w:pPr>
            <w:hyperlink r:id="Re49ce3548a024e2a">
              <w:r w:rsidRPr="572C7395" w:rsidR="00F32759">
                <w:rPr>
                  <w:rStyle w:val="Hyperlink"/>
                  <w:sz w:val="20"/>
                  <w:szCs w:val="20"/>
                </w:rPr>
                <w:t>R</w:t>
              </w:r>
              <w:r w:rsidRPr="572C7395" w:rsidR="00F32759">
                <w:rPr>
                  <w:rStyle w:val="Hyperlink"/>
                  <w:sz w:val="20"/>
                  <w:szCs w:val="20"/>
                </w:rPr>
                <w:t xml:space="preserve">apport </w:t>
              </w:r>
              <w:r w:rsidRPr="572C7395" w:rsidR="00F32759">
                <w:rPr>
                  <w:rStyle w:val="Hyperlink"/>
                  <w:sz w:val="20"/>
                  <w:szCs w:val="20"/>
                </w:rPr>
                <w:t>d'étape</w:t>
              </w:r>
              <w:r w:rsidRPr="572C7395" w:rsidR="00F32759">
                <w:rPr>
                  <w:rStyle w:val="Hyperlink"/>
                  <w:sz w:val="20"/>
                  <w:szCs w:val="20"/>
                </w:rPr>
                <w:t>. (FR)</w:t>
              </w:r>
            </w:hyperlink>
            <w:proofErr w:type="spellStart"/>
            <w:proofErr w:type="spellEnd"/>
          </w:p>
        </w:tc>
        <w:tc>
          <w:tcPr>
            <w:tcW w:w="3119" w:type="dxa"/>
            <w:shd w:val="clear" w:color="auto" w:fill="00FF00"/>
            <w:tcMar/>
          </w:tcPr>
          <w:p w:rsidRPr="007F0939" w:rsidR="00F8251F" w:rsidP="1C8ECB69" w:rsidRDefault="00343465" w14:paraId="1AB2EB6B" w14:textId="7C35A985">
            <w:pPr>
              <w:pStyle w:val="Normal"/>
              <w:widowControl w:val="0"/>
              <w:rPr>
                <w:sz w:val="20"/>
                <w:szCs w:val="20"/>
                <w:lang w:val="fr-CA"/>
              </w:rPr>
            </w:pPr>
            <w:r w:rsidRPr="1C8ECB69" w:rsidR="52C4E404">
              <w:rPr>
                <w:sz w:val="20"/>
                <w:szCs w:val="20"/>
                <w:lang w:val="fr"/>
              </w:rPr>
              <w:t>Le comité restreint a élaboré le rapport intérimaire. 16 décembre 2022</w:t>
            </w:r>
          </w:p>
        </w:tc>
        <w:tc>
          <w:tcPr>
            <w:tcW w:w="1559" w:type="dxa"/>
            <w:shd w:val="clear" w:color="auto" w:fill="00FF00"/>
            <w:tcMar>
              <w:top w:w="40" w:type="dxa"/>
              <w:left w:w="40" w:type="dxa"/>
              <w:bottom w:w="40" w:type="dxa"/>
              <w:right w:w="40" w:type="dxa"/>
            </w:tcMar>
            <w:vAlign w:val="bottom"/>
          </w:tcPr>
          <w:p w:rsidRPr="007F0939" w:rsidR="00F8251F" w:rsidRDefault="00F8251F" w14:paraId="5CFE3B1D" w14:textId="7B3DAB8D">
            <w:pPr>
              <w:widowControl w:val="0"/>
              <w:rPr>
                <w:sz w:val="20"/>
                <w:szCs w:val="20"/>
                <w:lang w:val="fr-CA"/>
              </w:rPr>
            </w:pPr>
          </w:p>
        </w:tc>
        <w:tc>
          <w:tcPr>
            <w:tcW w:w="1276" w:type="dxa"/>
            <w:tcMar>
              <w:top w:w="40" w:type="dxa"/>
              <w:left w:w="40" w:type="dxa"/>
              <w:bottom w:w="40" w:type="dxa"/>
              <w:right w:w="40" w:type="dxa"/>
            </w:tcMar>
            <w:vAlign w:val="bottom"/>
          </w:tcPr>
          <w:p w:rsidRPr="007F0939" w:rsidR="00F8251F" w:rsidRDefault="00F8251F" w14:paraId="202EC02C" w14:textId="77777777">
            <w:pPr>
              <w:widowControl w:val="0"/>
              <w:rPr>
                <w:sz w:val="20"/>
                <w:szCs w:val="20"/>
                <w:lang w:val="fr-CA"/>
              </w:rPr>
            </w:pPr>
          </w:p>
        </w:tc>
      </w:tr>
      <w:tr w:rsidR="00F8251F" w:rsidTr="1C8ECB69" w14:paraId="73BAA9AC" w14:textId="77777777">
        <w:trPr>
          <w:trHeight w:val="315"/>
        </w:trPr>
        <w:tc>
          <w:tcPr>
            <w:tcW w:w="2216" w:type="dxa"/>
            <w:tcMar>
              <w:top w:w="40" w:type="dxa"/>
              <w:left w:w="40" w:type="dxa"/>
              <w:bottom w:w="40" w:type="dxa"/>
              <w:right w:w="40" w:type="dxa"/>
            </w:tcMar>
            <w:vAlign w:val="bottom"/>
          </w:tcPr>
          <w:p w:rsidR="00F8251F" w:rsidRDefault="00343465" w14:paraId="5941224F" w14:textId="77777777">
            <w:pPr>
              <w:widowControl w:val="0"/>
              <w:rPr>
                <w:sz w:val="20"/>
                <w:szCs w:val="20"/>
              </w:rPr>
            </w:pPr>
            <w:r>
              <w:rPr>
                <w:sz w:val="20"/>
                <w:szCs w:val="20"/>
                <w:lang w:val="fr"/>
              </w:rPr>
              <w:t>Nouvelle-Écosse</w:t>
            </w:r>
          </w:p>
        </w:tc>
        <w:tc>
          <w:tcPr>
            <w:tcW w:w="5289" w:type="dxa"/>
            <w:tcMar>
              <w:top w:w="40" w:type="dxa"/>
              <w:left w:w="40" w:type="dxa"/>
              <w:bottom w:w="40" w:type="dxa"/>
              <w:right w:w="40" w:type="dxa"/>
            </w:tcMar>
            <w:vAlign w:val="bottom"/>
          </w:tcPr>
          <w:p w:rsidRPr="007F0939" w:rsidR="00F8251F" w:rsidRDefault="00000000" w14:paraId="32CE25D0" w14:textId="77777777">
            <w:pPr>
              <w:widowControl w:val="0"/>
              <w:rPr>
                <w:sz w:val="20"/>
                <w:szCs w:val="20"/>
                <w:lang w:val="fr-CA"/>
              </w:rPr>
            </w:pPr>
            <w:hyperlink r:id="rId31">
              <w:r w:rsidR="00343465">
                <w:rPr>
                  <w:color w:val="1155CC"/>
                  <w:sz w:val="20"/>
                  <w:szCs w:val="20"/>
                  <w:u w:val="single"/>
                  <w:lang w:val="fr"/>
                </w:rPr>
                <w:t>Loi sur l’accessibilité</w:t>
              </w:r>
            </w:hyperlink>
            <w:hyperlink r:id="rId32">
              <w:r w:rsidR="00343465">
                <w:rPr>
                  <w:color w:val="1155CC"/>
                  <w:sz w:val="20"/>
                  <w:szCs w:val="20"/>
                  <w:u w:val="single"/>
                  <w:lang w:val="fr"/>
                </w:rPr>
                <w:t xml:space="preserve"> en Nouvelle-Écosse</w:t>
              </w:r>
            </w:hyperlink>
            <w:hyperlink r:id="rId33">
              <w:r>
                <w:rPr>
                  <w:rStyle w:val="Hyperlink"/>
                </w:rPr>
                <w:t>https://novascotia.ca/accessibility/</w:t>
              </w:r>
            </w:hyperlink>
            <w:hyperlink r:id="rId34">
              <w:r w:rsidR="00343465">
                <w:rPr>
                  <w:color w:val="1155CC"/>
                  <w:sz w:val="20"/>
                  <w:szCs w:val="20"/>
                  <w:u w:val="single"/>
                  <w:lang w:val="fr"/>
                </w:rPr>
                <w:t>(ARANS)</w:t>
              </w:r>
            </w:hyperlink>
          </w:p>
        </w:tc>
        <w:tc>
          <w:tcPr>
            <w:tcW w:w="3119" w:type="dxa"/>
            <w:shd w:val="clear" w:color="auto" w:fill="FBBC04"/>
            <w:tcMar/>
          </w:tcPr>
          <w:p w:rsidRPr="007F0939" w:rsidR="00F8251F" w:rsidRDefault="00000000" w14:paraId="298D72BB" w14:textId="319A4E68">
            <w:pPr>
              <w:widowControl w:val="0"/>
              <w:rPr>
                <w:sz w:val="20"/>
                <w:szCs w:val="20"/>
                <w:lang w:val="fr-CA"/>
              </w:rPr>
            </w:pPr>
            <w:hyperlink w:history="1" r:id="rId35">
              <w:r w:rsidRPr="00657FAA" w:rsidR="00657FAA">
                <w:rPr>
                  <w:rStyle w:val="Hyperlink"/>
                  <w:sz w:val="20"/>
                  <w:szCs w:val="20"/>
                  <w:lang w:val="fr"/>
                </w:rPr>
                <w:t>Introduction à l’accessibilité (avec ASL)</w:t>
              </w:r>
            </w:hyperlink>
          </w:p>
        </w:tc>
        <w:tc>
          <w:tcPr>
            <w:tcW w:w="1559" w:type="dxa"/>
            <w:shd w:val="clear" w:color="auto" w:fill="FBBC04"/>
            <w:tcMar>
              <w:top w:w="40" w:type="dxa"/>
              <w:left w:w="40" w:type="dxa"/>
              <w:bottom w:w="40" w:type="dxa"/>
              <w:right w:w="40" w:type="dxa"/>
            </w:tcMar>
            <w:vAlign w:val="bottom"/>
          </w:tcPr>
          <w:p w:rsidR="00F8251F" w:rsidRDefault="00343465" w14:paraId="3277456E" w14:textId="52893B5B">
            <w:pPr>
              <w:widowControl w:val="0"/>
              <w:rPr>
                <w:sz w:val="20"/>
                <w:szCs w:val="20"/>
              </w:rPr>
            </w:pPr>
            <w:r>
              <w:rPr>
                <w:sz w:val="20"/>
                <w:szCs w:val="20"/>
                <w:lang w:val="fr"/>
              </w:rPr>
              <w:t>Promulgué</w:t>
            </w:r>
            <w:r w:rsidR="008C3754">
              <w:rPr>
                <w:sz w:val="20"/>
                <w:szCs w:val="20"/>
                <w:lang w:val="fr"/>
              </w:rPr>
              <w:t xml:space="preserve"> en 2017</w:t>
            </w:r>
          </w:p>
        </w:tc>
        <w:tc>
          <w:tcPr>
            <w:tcW w:w="1276" w:type="dxa"/>
            <w:tcMar>
              <w:top w:w="40" w:type="dxa"/>
              <w:left w:w="40" w:type="dxa"/>
              <w:bottom w:w="40" w:type="dxa"/>
              <w:right w:w="40" w:type="dxa"/>
            </w:tcMar>
            <w:vAlign w:val="bottom"/>
          </w:tcPr>
          <w:p w:rsidR="00F8251F" w:rsidRDefault="008C3754" w14:paraId="24AF4A1B" w14:textId="24AF3DE0">
            <w:pPr>
              <w:widowControl w:val="0"/>
              <w:jc w:val="right"/>
              <w:rPr>
                <w:sz w:val="20"/>
                <w:szCs w:val="20"/>
              </w:rPr>
            </w:pPr>
            <w:r>
              <w:rPr>
                <w:sz w:val="20"/>
                <w:szCs w:val="20"/>
                <w:lang w:val="fr"/>
              </w:rPr>
              <w:t xml:space="preserve">Être </w:t>
            </w:r>
            <w:r w:rsidR="007F0939">
              <w:rPr>
                <w:sz w:val="20"/>
                <w:szCs w:val="20"/>
                <w:lang w:val="fr"/>
              </w:rPr>
              <w:t xml:space="preserve">sans </w:t>
            </w:r>
            <w:r>
              <w:rPr>
                <w:sz w:val="20"/>
                <w:szCs w:val="20"/>
                <w:lang w:val="fr"/>
              </w:rPr>
              <w:t>obstacles d’ici 2030</w:t>
            </w:r>
          </w:p>
        </w:tc>
      </w:tr>
      <w:tr w:rsidR="00F8251F" w:rsidTr="1C8ECB69" w14:paraId="55E7AC31" w14:textId="77777777">
        <w:trPr>
          <w:trHeight w:val="315"/>
        </w:trPr>
        <w:tc>
          <w:tcPr>
            <w:tcW w:w="2216" w:type="dxa"/>
            <w:tcMar>
              <w:top w:w="40" w:type="dxa"/>
              <w:left w:w="40" w:type="dxa"/>
              <w:bottom w:w="40" w:type="dxa"/>
              <w:right w:w="40" w:type="dxa"/>
            </w:tcMar>
            <w:vAlign w:val="bottom"/>
          </w:tcPr>
          <w:p w:rsidR="00F8251F" w:rsidRDefault="00343465" w14:paraId="5B0C30B5" w14:textId="77777777">
            <w:pPr>
              <w:widowControl w:val="0"/>
              <w:rPr>
                <w:sz w:val="20"/>
                <w:szCs w:val="20"/>
              </w:rPr>
            </w:pPr>
            <w:r>
              <w:rPr>
                <w:sz w:val="20"/>
                <w:szCs w:val="20"/>
                <w:lang w:val="fr"/>
              </w:rPr>
              <w:t>Île-du-Prince-Édouard</w:t>
            </w:r>
          </w:p>
        </w:tc>
        <w:tc>
          <w:tcPr>
            <w:tcW w:w="5289" w:type="dxa"/>
            <w:tcMar>
              <w:top w:w="40" w:type="dxa"/>
              <w:left w:w="40" w:type="dxa"/>
              <w:bottom w:w="40" w:type="dxa"/>
              <w:right w:w="40" w:type="dxa"/>
            </w:tcMar>
            <w:vAlign w:val="bottom"/>
          </w:tcPr>
          <w:p w:rsidR="00F8251F" w:rsidRDefault="00F8251F" w14:paraId="7DB56817" w14:textId="77777777">
            <w:pPr>
              <w:widowControl w:val="0"/>
              <w:rPr>
                <w:sz w:val="20"/>
                <w:szCs w:val="20"/>
              </w:rPr>
            </w:pPr>
          </w:p>
        </w:tc>
        <w:tc>
          <w:tcPr>
            <w:tcW w:w="3119" w:type="dxa"/>
            <w:shd w:val="clear" w:color="auto" w:fill="FF6D01"/>
            <w:tcMar/>
          </w:tcPr>
          <w:p w:rsidR="00F8251F" w:rsidRDefault="00F8251F" w14:paraId="3367407A" w14:textId="77777777">
            <w:pPr>
              <w:widowControl w:val="0"/>
              <w:rPr>
                <w:sz w:val="20"/>
                <w:szCs w:val="20"/>
              </w:rPr>
            </w:pPr>
          </w:p>
        </w:tc>
        <w:tc>
          <w:tcPr>
            <w:tcW w:w="1559" w:type="dxa"/>
            <w:shd w:val="clear" w:color="auto" w:fill="FF6D01"/>
            <w:tcMar>
              <w:top w:w="40" w:type="dxa"/>
              <w:left w:w="40" w:type="dxa"/>
              <w:bottom w:w="40" w:type="dxa"/>
              <w:right w:w="40" w:type="dxa"/>
            </w:tcMar>
            <w:vAlign w:val="bottom"/>
          </w:tcPr>
          <w:p w:rsidR="00F8251F" w:rsidRDefault="00343465" w14:paraId="1B21678F" w14:textId="77777777">
            <w:pPr>
              <w:widowControl w:val="0"/>
              <w:rPr>
                <w:sz w:val="20"/>
                <w:szCs w:val="20"/>
              </w:rPr>
            </w:pPr>
            <w:r>
              <w:rPr>
                <w:sz w:val="20"/>
                <w:szCs w:val="20"/>
                <w:lang w:val="fr"/>
              </w:rPr>
              <w:t>Non démarré</w:t>
            </w:r>
          </w:p>
        </w:tc>
        <w:tc>
          <w:tcPr>
            <w:tcW w:w="1276" w:type="dxa"/>
            <w:tcMar>
              <w:top w:w="40" w:type="dxa"/>
              <w:left w:w="40" w:type="dxa"/>
              <w:bottom w:w="40" w:type="dxa"/>
              <w:right w:w="40" w:type="dxa"/>
            </w:tcMar>
            <w:vAlign w:val="bottom"/>
          </w:tcPr>
          <w:p w:rsidR="00F8251F" w:rsidRDefault="00F8251F" w14:paraId="6B8E8741" w14:textId="77777777">
            <w:pPr>
              <w:widowControl w:val="0"/>
              <w:rPr>
                <w:sz w:val="20"/>
                <w:szCs w:val="20"/>
              </w:rPr>
            </w:pPr>
          </w:p>
        </w:tc>
      </w:tr>
      <w:tr w:rsidR="00F8251F" w:rsidTr="1C8ECB69" w14:paraId="62A9BC4D" w14:textId="77777777">
        <w:trPr>
          <w:trHeight w:val="315"/>
        </w:trPr>
        <w:tc>
          <w:tcPr>
            <w:tcW w:w="2216" w:type="dxa"/>
            <w:tcMar>
              <w:top w:w="40" w:type="dxa"/>
              <w:left w:w="40" w:type="dxa"/>
              <w:bottom w:w="40" w:type="dxa"/>
              <w:right w:w="40" w:type="dxa"/>
            </w:tcMar>
            <w:vAlign w:val="bottom"/>
          </w:tcPr>
          <w:p w:rsidR="00F8251F" w:rsidRDefault="00343465" w14:paraId="33C5BD13" w14:textId="77777777">
            <w:pPr>
              <w:widowControl w:val="0"/>
              <w:rPr>
                <w:sz w:val="20"/>
                <w:szCs w:val="20"/>
              </w:rPr>
            </w:pPr>
            <w:r>
              <w:rPr>
                <w:sz w:val="20"/>
                <w:szCs w:val="20"/>
                <w:lang w:val="fr"/>
              </w:rPr>
              <w:t>Terre-Neuve-et-Labrador</w:t>
            </w:r>
          </w:p>
        </w:tc>
        <w:tc>
          <w:tcPr>
            <w:tcW w:w="5289" w:type="dxa"/>
            <w:tcMar>
              <w:top w:w="40" w:type="dxa"/>
              <w:left w:w="40" w:type="dxa"/>
              <w:bottom w:w="40" w:type="dxa"/>
              <w:right w:w="40" w:type="dxa"/>
            </w:tcMar>
            <w:vAlign w:val="bottom"/>
          </w:tcPr>
          <w:p w:rsidRPr="007F0939" w:rsidR="00F8251F" w:rsidRDefault="00000000" w14:paraId="43F3639C" w14:textId="77777777">
            <w:pPr>
              <w:widowControl w:val="0"/>
              <w:rPr>
                <w:sz w:val="20"/>
                <w:szCs w:val="20"/>
                <w:lang w:val="fr-CA"/>
              </w:rPr>
            </w:pPr>
            <w:hyperlink r:id="rId36">
              <w:r w:rsidR="00343465">
                <w:rPr>
                  <w:color w:val="1155CC"/>
                  <w:sz w:val="20"/>
                  <w:szCs w:val="20"/>
                  <w:u w:val="single"/>
                  <w:lang w:val="fr"/>
                </w:rPr>
                <w:t>Loi sur l’accessibilité dans la province</w:t>
              </w:r>
            </w:hyperlink>
            <w:hyperlink r:id="rId37">
              <w:r w:rsidR="00343465">
                <w:rPr>
                  <w:color w:val="1155CC"/>
                  <w:sz w:val="20"/>
                  <w:szCs w:val="20"/>
                  <w:u w:val="single"/>
                  <w:lang w:val="fr"/>
                </w:rPr>
                <w:t xml:space="preserve"> (LAAR)</w:t>
              </w:r>
            </w:hyperlink>
          </w:p>
        </w:tc>
        <w:tc>
          <w:tcPr>
            <w:tcW w:w="3119" w:type="dxa"/>
            <w:shd w:val="clear" w:color="auto" w:fill="FBBC04"/>
            <w:tcMar/>
          </w:tcPr>
          <w:p w:rsidRPr="007F0939" w:rsidR="00F8251F" w:rsidRDefault="00343465" w14:paraId="6B412C1D" w14:textId="2B14041D">
            <w:pPr>
              <w:widowControl w:val="0"/>
              <w:rPr>
                <w:sz w:val="20"/>
                <w:szCs w:val="20"/>
                <w:lang w:val="fr-CA"/>
              </w:rPr>
            </w:pPr>
            <w:r>
              <w:rPr>
                <w:sz w:val="20"/>
                <w:szCs w:val="20"/>
                <w:lang w:val="fr"/>
              </w:rPr>
              <w:t>Reconnaître officiellement les langues des signes (ASL et ISL) comme langues principales pour les Sourds,</w:t>
            </w:r>
            <w:r w:rsidR="00657FAA">
              <w:rPr>
                <w:sz w:val="20"/>
                <w:szCs w:val="20"/>
                <w:lang w:val="fr"/>
              </w:rPr>
              <w:t xml:space="preserve"> mais pas pour la LSQ</w:t>
            </w:r>
          </w:p>
        </w:tc>
        <w:tc>
          <w:tcPr>
            <w:tcW w:w="1559" w:type="dxa"/>
            <w:shd w:val="clear" w:color="auto" w:fill="FBBC04"/>
            <w:tcMar>
              <w:top w:w="40" w:type="dxa"/>
              <w:left w:w="40" w:type="dxa"/>
              <w:bottom w:w="40" w:type="dxa"/>
              <w:right w:w="40" w:type="dxa"/>
            </w:tcMar>
            <w:vAlign w:val="bottom"/>
          </w:tcPr>
          <w:p w:rsidR="00F8251F" w:rsidRDefault="00343465" w14:paraId="3E464993" w14:textId="77777777">
            <w:pPr>
              <w:widowControl w:val="0"/>
              <w:rPr>
                <w:sz w:val="20"/>
                <w:szCs w:val="20"/>
              </w:rPr>
            </w:pPr>
            <w:r>
              <w:rPr>
                <w:sz w:val="20"/>
                <w:szCs w:val="20"/>
                <w:lang w:val="fr"/>
              </w:rPr>
              <w:t>Édicté</w:t>
            </w:r>
          </w:p>
        </w:tc>
        <w:tc>
          <w:tcPr>
            <w:tcW w:w="1276" w:type="dxa"/>
            <w:tcMar>
              <w:top w:w="40" w:type="dxa"/>
              <w:left w:w="40" w:type="dxa"/>
              <w:bottom w:w="40" w:type="dxa"/>
              <w:right w:w="40" w:type="dxa"/>
            </w:tcMar>
            <w:vAlign w:val="bottom"/>
          </w:tcPr>
          <w:p w:rsidR="00F8251F" w:rsidRDefault="00343465" w14:paraId="29815BC1" w14:textId="77777777">
            <w:pPr>
              <w:widowControl w:val="0"/>
              <w:jc w:val="right"/>
              <w:rPr>
                <w:sz w:val="20"/>
                <w:szCs w:val="20"/>
              </w:rPr>
            </w:pPr>
            <w:r>
              <w:rPr>
                <w:sz w:val="20"/>
                <w:szCs w:val="20"/>
                <w:lang w:val="fr"/>
              </w:rPr>
              <w:t>3 décembre 2021</w:t>
            </w:r>
          </w:p>
        </w:tc>
      </w:tr>
      <w:tr w:rsidRPr="007F0939" w:rsidR="00F8251F" w:rsidTr="1C8ECB69" w14:paraId="30882155" w14:textId="77777777">
        <w:trPr>
          <w:trHeight w:val="315"/>
        </w:trPr>
        <w:tc>
          <w:tcPr>
            <w:tcW w:w="2216" w:type="dxa"/>
            <w:tcMar>
              <w:top w:w="40" w:type="dxa"/>
              <w:left w:w="40" w:type="dxa"/>
              <w:bottom w:w="40" w:type="dxa"/>
              <w:right w:w="40" w:type="dxa"/>
            </w:tcMar>
            <w:vAlign w:val="bottom"/>
          </w:tcPr>
          <w:p w:rsidR="00F8251F" w:rsidRDefault="00343465" w14:paraId="24A9B0DD" w14:textId="77777777">
            <w:pPr>
              <w:widowControl w:val="0"/>
              <w:rPr>
                <w:sz w:val="20"/>
                <w:szCs w:val="20"/>
              </w:rPr>
            </w:pPr>
            <w:r>
              <w:rPr>
                <w:sz w:val="20"/>
                <w:szCs w:val="20"/>
                <w:lang w:val="fr"/>
              </w:rPr>
              <w:t>Canada et territoires</w:t>
            </w:r>
          </w:p>
        </w:tc>
        <w:tc>
          <w:tcPr>
            <w:tcW w:w="5289" w:type="dxa"/>
            <w:tcMar>
              <w:top w:w="40" w:type="dxa"/>
              <w:left w:w="40" w:type="dxa"/>
              <w:bottom w:w="40" w:type="dxa"/>
              <w:right w:w="40" w:type="dxa"/>
            </w:tcMar>
            <w:vAlign w:val="bottom"/>
          </w:tcPr>
          <w:p w:rsidRPr="007F0939" w:rsidR="00F8251F" w:rsidRDefault="00000000" w14:paraId="1CF2CE6D" w14:textId="77777777">
            <w:pPr>
              <w:widowControl w:val="0"/>
              <w:rPr>
                <w:sz w:val="20"/>
                <w:szCs w:val="20"/>
                <w:lang w:val="fr-CA"/>
              </w:rPr>
            </w:pPr>
            <w:hyperlink r:id="rId38">
              <w:r w:rsidR="00343465">
                <w:rPr>
                  <w:color w:val="1155CC"/>
                  <w:sz w:val="20"/>
                  <w:szCs w:val="20"/>
                  <w:u w:val="single"/>
                  <w:lang w:val="fr"/>
                </w:rPr>
                <w:t>Loi canadienne sur l’accessibilité (LCA)</w:t>
              </w:r>
            </w:hyperlink>
          </w:p>
        </w:tc>
        <w:tc>
          <w:tcPr>
            <w:tcW w:w="3119" w:type="dxa"/>
            <w:shd w:val="clear" w:color="auto" w:fill="FBBC04"/>
            <w:tcMar/>
          </w:tcPr>
          <w:p w:rsidRPr="007F0939" w:rsidR="00F8251F" w:rsidRDefault="00343465" w14:paraId="29E5F1A8" w14:textId="327B80EF">
            <w:pPr>
              <w:widowControl w:val="0"/>
              <w:rPr>
                <w:sz w:val="20"/>
                <w:szCs w:val="20"/>
                <w:lang w:val="fr-CA"/>
              </w:rPr>
            </w:pPr>
            <w:r>
              <w:rPr>
                <w:sz w:val="20"/>
                <w:szCs w:val="20"/>
                <w:lang w:val="fr"/>
              </w:rPr>
              <w:t>S’appliquent également aux territoires</w:t>
            </w:r>
            <w:r w:rsidR="00E6645F">
              <w:rPr>
                <w:sz w:val="20"/>
                <w:szCs w:val="20"/>
                <w:lang w:val="fr"/>
              </w:rPr>
              <w:t xml:space="preserve">.  La Loi reconnaît l’ASL, la LSQ et l’ISL comme langues principales pour les personnes sourdes.  </w:t>
            </w:r>
          </w:p>
        </w:tc>
        <w:tc>
          <w:tcPr>
            <w:tcW w:w="1559" w:type="dxa"/>
            <w:shd w:val="clear" w:color="auto" w:fill="FBBC04"/>
            <w:tcMar>
              <w:top w:w="40" w:type="dxa"/>
              <w:left w:w="40" w:type="dxa"/>
              <w:bottom w:w="40" w:type="dxa"/>
              <w:right w:w="40" w:type="dxa"/>
            </w:tcMar>
            <w:vAlign w:val="bottom"/>
          </w:tcPr>
          <w:p w:rsidR="00F8251F" w:rsidRDefault="00343465" w14:paraId="75748D80" w14:textId="0AFFC156">
            <w:pPr>
              <w:widowControl w:val="0"/>
              <w:rPr>
                <w:sz w:val="20"/>
                <w:szCs w:val="20"/>
              </w:rPr>
            </w:pPr>
            <w:r>
              <w:rPr>
                <w:sz w:val="20"/>
                <w:szCs w:val="20"/>
                <w:lang w:val="fr"/>
              </w:rPr>
              <w:t>Promulguée</w:t>
            </w:r>
            <w:r w:rsidR="00657FAA">
              <w:rPr>
                <w:sz w:val="20"/>
                <w:szCs w:val="20"/>
                <w:lang w:val="fr"/>
              </w:rPr>
              <w:t xml:space="preserve"> en juillet 2019</w:t>
            </w:r>
          </w:p>
        </w:tc>
        <w:tc>
          <w:tcPr>
            <w:tcW w:w="1276" w:type="dxa"/>
            <w:tcMar>
              <w:top w:w="40" w:type="dxa"/>
              <w:left w:w="40" w:type="dxa"/>
              <w:bottom w:w="40" w:type="dxa"/>
              <w:right w:w="40" w:type="dxa"/>
            </w:tcMar>
            <w:vAlign w:val="bottom"/>
          </w:tcPr>
          <w:p w:rsidRPr="007F0939" w:rsidR="00F8251F" w:rsidRDefault="00657FAA" w14:paraId="13654EAE" w14:textId="1AF92DE7">
            <w:pPr>
              <w:widowControl w:val="0"/>
              <w:jc w:val="right"/>
              <w:rPr>
                <w:sz w:val="20"/>
                <w:szCs w:val="20"/>
                <w:lang w:val="fr-CA"/>
              </w:rPr>
            </w:pPr>
            <w:r>
              <w:rPr>
                <w:sz w:val="20"/>
                <w:szCs w:val="20"/>
                <w:lang w:val="fr"/>
              </w:rPr>
              <w:t>Un Canada sans obstacles d’ici 2040</w:t>
            </w:r>
          </w:p>
        </w:tc>
      </w:tr>
    </w:tbl>
    <w:p w:rsidRPr="007F0939" w:rsidR="00F8251F" w:rsidRDefault="00F8251F" w14:paraId="71739597" w14:textId="77777777">
      <w:pPr>
        <w:rPr>
          <w:lang w:val="fr-CA"/>
        </w:rPr>
      </w:pPr>
    </w:p>
    <w:p w:rsidR="00F8251F" w:rsidRDefault="00343465" w14:paraId="7A3EA847" w14:textId="77777777">
      <w:proofErr w:type="gramStart"/>
      <w:r>
        <w:rPr>
          <w:lang w:val="fr"/>
        </w:rPr>
        <w:t>Notes:</w:t>
      </w:r>
      <w:proofErr w:type="gramEnd"/>
    </w:p>
    <w:p w:rsidR="00F8251F" w:rsidRDefault="00F8251F" w14:paraId="50CAB7AF" w14:textId="77777777"/>
    <w:p w:rsidRPr="007F0939" w:rsidR="00F8251F" w:rsidRDefault="00343465" w14:paraId="0BF59336" w14:textId="2AE17B60">
      <w:pPr>
        <w:numPr>
          <w:ilvl w:val="0"/>
          <w:numId w:val="1"/>
        </w:numPr>
        <w:rPr>
          <w:lang w:val="fr-CA"/>
        </w:rPr>
      </w:pPr>
      <w:r>
        <w:rPr>
          <w:lang w:val="fr"/>
        </w:rPr>
        <w:t xml:space="preserve">La Loi sur l’accessibilité au Canada, la Colombie-Britannique et Terre-Neuve-et-Labrador ont des lois avec des langues des signes reconnues comme langues principales pour la communauté sourde. </w:t>
      </w:r>
    </w:p>
    <w:p w:rsidRPr="007F0939" w:rsidR="00DE33B7" w:rsidRDefault="00343465" w14:paraId="7C5585BF" w14:textId="77777777">
      <w:pPr>
        <w:rPr>
          <w:lang w:val="fr-CA"/>
        </w:rPr>
      </w:pPr>
      <w:r w:rsidRPr="007F0939">
        <w:rPr>
          <w:lang w:val="fr-CA"/>
        </w:rPr>
        <w:br/>
      </w:r>
    </w:p>
    <w:p w:rsidRPr="007F0939" w:rsidR="00F8251F" w:rsidRDefault="00343465" w14:paraId="671D41E7" w14:textId="77F8E3B3">
      <w:pPr>
        <w:rPr>
          <w:lang w:val="fr-CA"/>
        </w:rPr>
      </w:pPr>
      <w:proofErr w:type="gramStart"/>
      <w:r>
        <w:rPr>
          <w:lang w:val="fr"/>
        </w:rPr>
        <w:lastRenderedPageBreak/>
        <w:t>Liens:</w:t>
      </w:r>
      <w:proofErr w:type="gramEnd"/>
    </w:p>
    <w:p w:rsidRPr="007F0939" w:rsidR="00F8251F" w:rsidRDefault="00F8251F" w14:paraId="6876191A" w14:textId="77777777">
      <w:pPr>
        <w:rPr>
          <w:lang w:val="fr-CA"/>
        </w:rPr>
      </w:pPr>
    </w:p>
    <w:p w:rsidRPr="007F0939" w:rsidR="00F8251F" w:rsidRDefault="00000000" w14:paraId="15ADE0A7" w14:textId="77777777">
      <w:pPr>
        <w:rPr>
          <w:lang w:val="fr-CA"/>
        </w:rPr>
      </w:pPr>
      <w:hyperlink r:id="rId39">
        <w:r w:rsidR="00343465">
          <w:rPr>
            <w:color w:val="1155CC"/>
            <w:u w:val="single"/>
            <w:lang w:val="fr"/>
          </w:rPr>
          <w:t>Colombie-Britannique https://www2.gov.bc.ca/gov/content/governments/about-the-bc-government/accessibility/legislation</w:t>
        </w:r>
      </w:hyperlink>
    </w:p>
    <w:p w:rsidRPr="007F0939" w:rsidR="00F8251F" w:rsidRDefault="00F8251F" w14:paraId="4A9010DA" w14:textId="77777777">
      <w:pPr>
        <w:rPr>
          <w:lang w:val="fr-CA"/>
        </w:rPr>
      </w:pPr>
    </w:p>
    <w:p w:rsidR="00F8251F" w:rsidRDefault="00343465" w14:paraId="13E35F27" w14:textId="77777777">
      <w:r w:rsidRPr="007F0939">
        <w:rPr>
          <w:lang w:val="en-CA"/>
        </w:rPr>
        <w:t xml:space="preserve">Alberta </w:t>
      </w:r>
      <w:hyperlink r:id="rId40">
        <w:r w:rsidRPr="007F0939">
          <w:rPr>
            <w:color w:val="1155CC"/>
            <w:u w:val="single"/>
            <w:lang w:val="en-CA"/>
          </w:rPr>
          <w:t>https://www.barrierfreeab.ca/</w:t>
        </w:r>
      </w:hyperlink>
    </w:p>
    <w:p w:rsidR="00F8251F" w:rsidRDefault="00F8251F" w14:paraId="14C61A7C" w14:textId="77777777"/>
    <w:p w:rsidR="00F8251F" w:rsidRDefault="00000000" w14:paraId="0EF2CD2F" w14:textId="77777777">
      <w:hyperlink r:id="rId41">
        <w:r w:rsidRPr="007F0939" w:rsidR="00343465">
          <w:rPr>
            <w:color w:val="1155CC"/>
            <w:u w:val="single"/>
            <w:lang w:val="en-CA"/>
          </w:rPr>
          <w:t>https://accessiblesk.saskatchewan.ca/</w:t>
        </w:r>
      </w:hyperlink>
      <w:r w:rsidRPr="007F0939" w:rsidR="00343465">
        <w:rPr>
          <w:lang w:val="en-CA"/>
        </w:rPr>
        <w:t xml:space="preserve"> Saskatchewan</w:t>
      </w:r>
    </w:p>
    <w:p w:rsidR="00F8251F" w:rsidRDefault="00F8251F" w14:paraId="13B63827" w14:textId="77777777"/>
    <w:p w:rsidR="00F8251F" w:rsidRDefault="00000000" w14:paraId="5094ECDC" w14:textId="77777777">
      <w:hyperlink r:id="rId42">
        <w:r w:rsidRPr="007F0939" w:rsidR="00343465">
          <w:rPr>
            <w:color w:val="1155CC"/>
            <w:u w:val="single"/>
            <w:lang w:val="en-CA"/>
          </w:rPr>
          <w:t>https://accessibilitymb.ca/law.html</w:t>
        </w:r>
      </w:hyperlink>
      <w:r w:rsidRPr="007F0939" w:rsidR="00343465">
        <w:rPr>
          <w:lang w:val="en-CA"/>
        </w:rPr>
        <w:t xml:space="preserve"> Manitoba</w:t>
      </w:r>
    </w:p>
    <w:p w:rsidR="00F8251F" w:rsidRDefault="00F8251F" w14:paraId="7C4F92B4" w14:textId="77777777"/>
    <w:p w:rsidR="00F8251F" w:rsidRDefault="00343465" w14:paraId="13BBFAFB" w14:textId="77777777">
      <w:r w:rsidRPr="007F0939">
        <w:rPr>
          <w:lang w:val="en-CA"/>
        </w:rPr>
        <w:t xml:space="preserve">Ontario </w:t>
      </w:r>
      <w:hyperlink r:id="rId43">
        <w:r w:rsidRPr="007F0939">
          <w:rPr>
            <w:color w:val="1155CC"/>
            <w:u w:val="single"/>
            <w:lang w:val="en-CA"/>
          </w:rPr>
          <w:t>https://www.aoda.ca/the-act/</w:t>
        </w:r>
      </w:hyperlink>
    </w:p>
    <w:p w:rsidR="00F8251F" w:rsidRDefault="00F8251F" w14:paraId="2D981EC4" w14:textId="77777777"/>
    <w:p w:rsidRPr="007F0939" w:rsidR="00F8251F" w:rsidRDefault="00343465" w14:paraId="3FE105CB" w14:textId="77777777">
      <w:pPr>
        <w:rPr>
          <w:lang w:val="fr-CA"/>
        </w:rPr>
      </w:pPr>
      <w:r>
        <w:rPr>
          <w:lang w:val="fr"/>
        </w:rPr>
        <w:t xml:space="preserve">Québec </w:t>
      </w:r>
      <w:hyperlink w:anchor="document" r:id="rId44">
        <w:r>
          <w:rPr>
            <w:color w:val="1155CC"/>
            <w:u w:val="single"/>
            <w:lang w:val="fr"/>
          </w:rPr>
          <w:t>https://www.canlii.org/en/qc/laws/stat/rsq-c-e-20.1/latest/#document</w:t>
        </w:r>
      </w:hyperlink>
    </w:p>
    <w:p w:rsidRPr="007F0939" w:rsidR="00F8251F" w:rsidRDefault="00F8251F" w14:paraId="36A80640" w14:textId="77777777">
      <w:pPr>
        <w:rPr>
          <w:lang w:val="fr-CA"/>
        </w:rPr>
      </w:pPr>
    </w:p>
    <w:p w:rsidRPr="007F0939" w:rsidR="00F8251F" w:rsidRDefault="00343465" w14:paraId="6704A65B" w14:textId="77777777">
      <w:pPr>
        <w:rPr>
          <w:lang w:val="fr-CA"/>
        </w:rPr>
      </w:pPr>
      <w:r>
        <w:rPr>
          <w:lang w:val="fr"/>
        </w:rPr>
        <w:t xml:space="preserve">Nouveau-Brunswick </w:t>
      </w:r>
      <w:hyperlink r:id="rId45">
        <w:r>
          <w:rPr>
            <w:color w:val="1155CC"/>
            <w:u w:val="single"/>
            <w:lang w:val="fr"/>
          </w:rPr>
          <w:t>https://www2.gnb.ca/content/gnb/en/news/news_release.2021.12.0888.html</w:t>
        </w:r>
      </w:hyperlink>
    </w:p>
    <w:p w:rsidRPr="007F0939" w:rsidR="00F8251F" w:rsidRDefault="00F8251F" w14:paraId="386EDA7C" w14:textId="77777777">
      <w:pPr>
        <w:rPr>
          <w:lang w:val="fr-CA"/>
        </w:rPr>
      </w:pPr>
    </w:p>
    <w:p w:rsidRPr="007F0939" w:rsidR="00F8251F" w:rsidRDefault="00343465" w14:paraId="0FC09054" w14:textId="77777777">
      <w:pPr>
        <w:rPr>
          <w:lang w:val="fr-CA"/>
        </w:rPr>
      </w:pPr>
      <w:r>
        <w:rPr>
          <w:lang w:val="fr"/>
        </w:rPr>
        <w:t xml:space="preserve">Nouvelle-Écosse </w:t>
      </w:r>
      <w:hyperlink r:id="rId46">
        <w:r>
          <w:rPr>
            <w:color w:val="1155CC"/>
            <w:u w:val="single"/>
            <w:lang w:val="fr"/>
          </w:rPr>
          <w:t>https://novascotia.ca/accessibility/</w:t>
        </w:r>
      </w:hyperlink>
    </w:p>
    <w:p w:rsidRPr="007F0939" w:rsidR="00F8251F" w:rsidRDefault="00F8251F" w14:paraId="696DB2B7" w14:textId="77777777">
      <w:pPr>
        <w:rPr>
          <w:lang w:val="fr-CA"/>
        </w:rPr>
      </w:pPr>
    </w:p>
    <w:p w:rsidRPr="007F0939" w:rsidR="00F8251F" w:rsidRDefault="00343465" w14:paraId="306E0C45" w14:textId="77777777">
      <w:pPr>
        <w:rPr>
          <w:lang w:val="fr-CA"/>
        </w:rPr>
      </w:pPr>
      <w:r>
        <w:rPr>
          <w:lang w:val="fr"/>
        </w:rPr>
        <w:t>Île-du-Prince-Édouard (pas encore de lien)</w:t>
      </w:r>
    </w:p>
    <w:p w:rsidRPr="007F0939" w:rsidR="00F8251F" w:rsidRDefault="00F8251F" w14:paraId="08D97B3A" w14:textId="77777777">
      <w:pPr>
        <w:rPr>
          <w:lang w:val="fr-CA"/>
        </w:rPr>
      </w:pPr>
    </w:p>
    <w:p w:rsidRPr="007F0939" w:rsidR="00F8251F" w:rsidRDefault="00000000" w14:paraId="1A59107A" w14:textId="77777777">
      <w:pPr>
        <w:rPr>
          <w:lang w:val="fr-CA"/>
        </w:rPr>
      </w:pPr>
      <w:hyperlink r:id="rId47">
        <w:r>
          <w:rPr>
            <w:rStyle w:val="Hyperlink"/>
          </w:rPr>
          <w:t>https://www.gov.nl.ca/cssd/accessibility-act/</w:t>
        </w:r>
      </w:hyperlink>
      <w:hyperlink r:id="rId48">
        <w:r w:rsidR="00343465">
          <w:rPr>
            <w:color w:val="1155CC"/>
            <w:u w:val="single"/>
            <w:lang w:val="fr"/>
          </w:rPr>
          <w:t>Terre-Neuve-et-Labrador https://www.gov.nl.ca/c SSD/</w:t>
        </w:r>
        <w:proofErr w:type="spellStart"/>
        <w:r w:rsidR="00343465">
          <w:rPr>
            <w:color w:val="1155CC"/>
            <w:u w:val="single"/>
            <w:lang w:val="fr"/>
          </w:rPr>
          <w:t>accessibility-act</w:t>
        </w:r>
        <w:proofErr w:type="spellEnd"/>
        <w:r w:rsidR="00343465">
          <w:rPr>
            <w:color w:val="1155CC"/>
            <w:u w:val="single"/>
            <w:lang w:val="fr"/>
          </w:rPr>
          <w:t>/</w:t>
        </w:r>
      </w:hyperlink>
    </w:p>
    <w:p w:rsidRPr="007F0939" w:rsidR="00F8251F" w:rsidRDefault="00F8251F" w14:paraId="65D9D8D5" w14:textId="77777777">
      <w:pPr>
        <w:rPr>
          <w:lang w:val="fr-CA"/>
        </w:rPr>
      </w:pPr>
    </w:p>
    <w:p w:rsidRPr="007F0939" w:rsidR="00F8251F" w:rsidRDefault="00343465" w14:paraId="71604C47" w14:textId="77777777">
      <w:pPr>
        <w:rPr>
          <w:lang w:val="fr-CA"/>
        </w:rPr>
      </w:pPr>
      <w:r>
        <w:rPr>
          <w:lang w:val="fr"/>
        </w:rPr>
        <w:t xml:space="preserve">Canada </w:t>
      </w:r>
      <w:hyperlink r:id="rId49">
        <w:r>
          <w:rPr>
            <w:color w:val="1155CC"/>
            <w:u w:val="single"/>
            <w:lang w:val="fr"/>
          </w:rPr>
          <w:t>https://www.canada.ca/en/employment-social-development/progra</w:t>
        </w:r>
      </w:hyperlink>
      <w:hyperlink r:id="rId50">
        <w:r>
          <w:rPr>
            <w:color w:val="1155CC"/>
            <w:u w:val="single"/>
            <w:lang w:val="fr"/>
          </w:rPr>
          <w:t>ms/accessible-people-disabilities/act-summary.html</w:t>
        </w:r>
      </w:hyperlink>
    </w:p>
    <w:p w:rsidRPr="007F0939" w:rsidR="00F8251F" w:rsidRDefault="00000000" w14:paraId="165B2506" w14:textId="77777777">
      <w:pPr>
        <w:rPr>
          <w:lang w:val="fr-CA"/>
        </w:rPr>
      </w:pPr>
      <w:hyperlink r:id="rId51">
        <w:r w:rsidR="00343465">
          <w:rPr>
            <w:color w:val="1155CC"/>
            <w:u w:val="single"/>
            <w:lang w:val="fr"/>
          </w:rPr>
          <w:t>https://laws-lois.justice.gc.ca/eng/acts/A-0.6/</w:t>
        </w:r>
      </w:hyperlink>
    </w:p>
    <w:p w:rsidRPr="007F0939" w:rsidR="00F8251F" w:rsidRDefault="00F8251F" w14:paraId="41A819F1" w14:textId="6913ADBA">
      <w:pPr>
        <w:rPr>
          <w:lang w:val="fr-CA"/>
        </w:rPr>
      </w:pPr>
    </w:p>
    <w:sectPr w:rsidRPr="007F0939" w:rsidR="00F8251F">
      <w:footerReference w:type="default" r:id="rId52"/>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50E5" w:rsidRDefault="00F350E5" w14:paraId="6591353B" w14:textId="77777777">
      <w:pPr>
        <w:spacing w:line="240" w:lineRule="auto"/>
      </w:pPr>
      <w:r>
        <w:rPr>
          <w:lang w:val="fr"/>
        </w:rPr>
        <w:separator/>
      </w:r>
    </w:p>
  </w:endnote>
  <w:endnote w:type="continuationSeparator" w:id="0">
    <w:p w:rsidR="00F350E5" w:rsidRDefault="00F350E5" w14:paraId="2B8FB481" w14:textId="77777777">
      <w:pPr>
        <w:spacing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F0939" w:rsidR="00F8251F" w:rsidRDefault="00343465" w14:paraId="71DE39B0" w14:textId="77777777">
    <w:pPr>
      <w:pBdr>
        <w:top w:val="nil"/>
        <w:left w:val="nil"/>
        <w:bottom w:val="nil"/>
        <w:right w:val="nil"/>
        <w:between w:val="nil"/>
      </w:pBdr>
      <w:tabs>
        <w:tab w:val="center" w:pos="4680"/>
        <w:tab w:val="right" w:pos="9360"/>
      </w:tabs>
      <w:spacing w:line="240" w:lineRule="auto"/>
      <w:rPr>
        <w:color w:val="000000"/>
        <w:lang w:val="fr-CA"/>
      </w:rPr>
    </w:pPr>
    <w:r>
      <w:rPr>
        <w:color w:val="000000"/>
        <w:lang w:val="fr"/>
      </w:rPr>
      <w:t>6 décembre 2022 – Association des Sourds du Canada – Canadian Association of the Deaf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50E5" w:rsidRDefault="00F350E5" w14:paraId="1C1E303F" w14:textId="77777777">
      <w:pPr>
        <w:spacing w:line="240" w:lineRule="auto"/>
      </w:pPr>
      <w:r>
        <w:rPr>
          <w:lang w:val="fr"/>
        </w:rPr>
        <w:separator/>
      </w:r>
    </w:p>
  </w:footnote>
  <w:footnote w:type="continuationSeparator" w:id="0">
    <w:p w:rsidR="00F350E5" w:rsidRDefault="00F350E5" w14:paraId="6BF17F4E" w14:textId="77777777">
      <w:pPr>
        <w:spacing w:line="240" w:lineRule="auto"/>
      </w:pPr>
      <w:r>
        <w:rPr>
          <w:lang w:val="f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A1462"/>
    <w:multiLevelType w:val="multilevel"/>
    <w:tmpl w:val="73F2A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89103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1F"/>
    <w:rsid w:val="00000000"/>
    <w:rsid w:val="00271798"/>
    <w:rsid w:val="00343465"/>
    <w:rsid w:val="006333A7"/>
    <w:rsid w:val="00657FAA"/>
    <w:rsid w:val="007C689E"/>
    <w:rsid w:val="007F0939"/>
    <w:rsid w:val="008C3754"/>
    <w:rsid w:val="009A0460"/>
    <w:rsid w:val="00DE33B7"/>
    <w:rsid w:val="00E6645F"/>
    <w:rsid w:val="00F32759"/>
    <w:rsid w:val="00F350E5"/>
    <w:rsid w:val="00F8251F"/>
    <w:rsid w:val="016CD71C"/>
    <w:rsid w:val="10DAED78"/>
    <w:rsid w:val="1C8ECB69"/>
    <w:rsid w:val="52C4E404"/>
    <w:rsid w:val="572C73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FED7"/>
  <w15:docId w15:val="{BC3D634B-7C6F-4DF1-A819-05E87CD818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rsid w:val="0006739C"/>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Emphasis">
    <w:name w:val="Emphasis"/>
    <w:basedOn w:val="DefaultParagraphFont"/>
    <w:uiPriority w:val="20"/>
    <w:qFormat/>
    <w:rsid w:val="0006739C"/>
    <w:rPr>
      <w:i/>
      <w:iCs/>
    </w:rPr>
  </w:style>
  <w:style w:type="character" w:styleId="Hyperlink">
    <w:name w:val="Hyperlink"/>
    <w:basedOn w:val="DefaultParagraphFont"/>
    <w:uiPriority w:val="99"/>
    <w:unhideWhenUsed/>
    <w:rsid w:val="0006739C"/>
    <w:rPr>
      <w:color w:val="0000FF" w:themeColor="hyperlink"/>
      <w:u w:val="single"/>
    </w:rPr>
  </w:style>
  <w:style w:type="character" w:styleId="UnresolvedMention">
    <w:name w:val="Unresolved Mention"/>
    <w:basedOn w:val="DefaultParagraphFont"/>
    <w:uiPriority w:val="99"/>
    <w:semiHidden/>
    <w:unhideWhenUsed/>
    <w:rsid w:val="0006739C"/>
    <w:rPr>
      <w:color w:val="605E5C"/>
      <w:shd w:val="clear" w:color="auto" w:fill="E1DFDD"/>
    </w:rPr>
  </w:style>
  <w:style w:type="paragraph" w:styleId="Header">
    <w:name w:val="header"/>
    <w:basedOn w:val="Normal"/>
    <w:link w:val="HeaderChar"/>
    <w:uiPriority w:val="99"/>
    <w:unhideWhenUsed/>
    <w:rsid w:val="0006739C"/>
    <w:pPr>
      <w:tabs>
        <w:tab w:val="center" w:pos="4680"/>
        <w:tab w:val="right" w:pos="9360"/>
      </w:tabs>
      <w:spacing w:line="240" w:lineRule="auto"/>
    </w:pPr>
  </w:style>
  <w:style w:type="character" w:styleId="HeaderChar" w:customStyle="1">
    <w:name w:val="Header Char"/>
    <w:basedOn w:val="DefaultParagraphFont"/>
    <w:link w:val="Header"/>
    <w:uiPriority w:val="99"/>
    <w:rsid w:val="0006739C"/>
  </w:style>
  <w:style w:type="paragraph" w:styleId="Footer">
    <w:name w:val="footer"/>
    <w:basedOn w:val="Normal"/>
    <w:link w:val="FooterChar"/>
    <w:uiPriority w:val="99"/>
    <w:unhideWhenUsed/>
    <w:rsid w:val="0006739C"/>
    <w:pPr>
      <w:tabs>
        <w:tab w:val="center" w:pos="4680"/>
        <w:tab w:val="right" w:pos="9360"/>
      </w:tabs>
      <w:spacing w:line="240" w:lineRule="auto"/>
    </w:pPr>
  </w:style>
  <w:style w:type="character" w:styleId="FooterChar" w:customStyle="1">
    <w:name w:val="Footer Char"/>
    <w:basedOn w:val="DefaultParagraphFont"/>
    <w:link w:val="Footer"/>
    <w:uiPriority w:val="99"/>
    <w:rsid w:val="0006739C"/>
  </w:style>
  <w:style w:type="table" w:styleId="a0" w:customStyle="1">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7F09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6324">
      <w:bodyDiv w:val="1"/>
      <w:marLeft w:val="0"/>
      <w:marRight w:val="0"/>
      <w:marTop w:val="0"/>
      <w:marBottom w:val="0"/>
      <w:divBdr>
        <w:top w:val="none" w:sz="0" w:space="0" w:color="auto"/>
        <w:left w:val="none" w:sz="0" w:space="0" w:color="auto"/>
        <w:bottom w:val="none" w:sz="0" w:space="0" w:color="auto"/>
        <w:right w:val="none" w:sz="0" w:space="0" w:color="auto"/>
      </w:divBdr>
      <w:divsChild>
        <w:div w:id="1234778433">
          <w:marLeft w:val="0"/>
          <w:marRight w:val="0"/>
          <w:marTop w:val="0"/>
          <w:marBottom w:val="0"/>
          <w:divBdr>
            <w:top w:val="none" w:sz="0" w:space="0" w:color="auto"/>
            <w:left w:val="none" w:sz="0" w:space="0" w:color="auto"/>
            <w:bottom w:val="none" w:sz="0" w:space="0" w:color="auto"/>
            <w:right w:val="none" w:sz="0" w:space="0" w:color="auto"/>
          </w:divBdr>
          <w:divsChild>
            <w:div w:id="170798599">
              <w:marLeft w:val="0"/>
              <w:marRight w:val="0"/>
              <w:marTop w:val="0"/>
              <w:marBottom w:val="0"/>
              <w:divBdr>
                <w:top w:val="none" w:sz="0" w:space="0" w:color="auto"/>
                <w:left w:val="none" w:sz="0" w:space="0" w:color="auto"/>
                <w:bottom w:val="none" w:sz="0" w:space="0" w:color="auto"/>
                <w:right w:val="none" w:sz="0" w:space="0" w:color="auto"/>
              </w:divBdr>
              <w:divsChild>
                <w:div w:id="1070545147">
                  <w:marLeft w:val="0"/>
                  <w:marRight w:val="0"/>
                  <w:marTop w:val="0"/>
                  <w:marBottom w:val="0"/>
                  <w:divBdr>
                    <w:top w:val="none" w:sz="0" w:space="0" w:color="auto"/>
                    <w:left w:val="none" w:sz="0" w:space="0" w:color="auto"/>
                    <w:bottom w:val="none" w:sz="0" w:space="0" w:color="auto"/>
                    <w:right w:val="none" w:sz="0" w:space="0" w:color="auto"/>
                  </w:divBdr>
                  <w:divsChild>
                    <w:div w:id="1055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3879">
      <w:bodyDiv w:val="1"/>
      <w:marLeft w:val="0"/>
      <w:marRight w:val="0"/>
      <w:marTop w:val="0"/>
      <w:marBottom w:val="0"/>
      <w:divBdr>
        <w:top w:val="none" w:sz="0" w:space="0" w:color="auto"/>
        <w:left w:val="none" w:sz="0" w:space="0" w:color="auto"/>
        <w:bottom w:val="none" w:sz="0" w:space="0" w:color="auto"/>
        <w:right w:val="none" w:sz="0" w:space="0" w:color="auto"/>
      </w:divBdr>
      <w:divsChild>
        <w:div w:id="1204715343">
          <w:marLeft w:val="0"/>
          <w:marRight w:val="0"/>
          <w:marTop w:val="0"/>
          <w:marBottom w:val="0"/>
          <w:divBdr>
            <w:top w:val="none" w:sz="0" w:space="0" w:color="auto"/>
            <w:left w:val="none" w:sz="0" w:space="0" w:color="auto"/>
            <w:bottom w:val="none" w:sz="0" w:space="0" w:color="auto"/>
            <w:right w:val="none" w:sz="0" w:space="0" w:color="auto"/>
          </w:divBdr>
          <w:divsChild>
            <w:div w:id="1649748426">
              <w:marLeft w:val="0"/>
              <w:marRight w:val="0"/>
              <w:marTop w:val="0"/>
              <w:marBottom w:val="0"/>
              <w:divBdr>
                <w:top w:val="none" w:sz="0" w:space="0" w:color="auto"/>
                <w:left w:val="none" w:sz="0" w:space="0" w:color="auto"/>
                <w:bottom w:val="none" w:sz="0" w:space="0" w:color="auto"/>
                <w:right w:val="none" w:sz="0" w:space="0" w:color="auto"/>
              </w:divBdr>
              <w:divsChild>
                <w:div w:id="403719065">
                  <w:marLeft w:val="0"/>
                  <w:marRight w:val="0"/>
                  <w:marTop w:val="0"/>
                  <w:marBottom w:val="0"/>
                  <w:divBdr>
                    <w:top w:val="none" w:sz="0" w:space="0" w:color="auto"/>
                    <w:left w:val="none" w:sz="0" w:space="0" w:color="auto"/>
                    <w:bottom w:val="none" w:sz="0" w:space="0" w:color="auto"/>
                    <w:right w:val="none" w:sz="0" w:space="0" w:color="auto"/>
                  </w:divBdr>
                  <w:divsChild>
                    <w:div w:id="7966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accessiblesk.saskatchewan.ca/" TargetMode="External" Id="rId13" /><Relationship Type="http://schemas.openxmlformats.org/officeDocument/2006/relationships/hyperlink" Target="https://accessibilitymb.ca/law.html" TargetMode="External" Id="rId18" /><Relationship Type="http://schemas.openxmlformats.org/officeDocument/2006/relationships/hyperlink" Target="https://www2.gnb.ca/content/gnb/en/news/news_release.2021.12.0888.html" TargetMode="External" Id="rId26" /><Relationship Type="http://schemas.openxmlformats.org/officeDocument/2006/relationships/hyperlink" Target="https://www2.gov.bc.ca/gov/content/governments/about-the-bc-government/accessibility/legislation" TargetMode="External" Id="rId39" /><Relationship Type="http://schemas.openxmlformats.org/officeDocument/2006/relationships/hyperlink" Target="https://www.aoda.ca/the-act/" TargetMode="External" Id="rId21" /><Relationship Type="http://schemas.openxmlformats.org/officeDocument/2006/relationships/hyperlink" Target="https://novascotia.ca/accessibility/" TargetMode="External" Id="rId34" /><Relationship Type="http://schemas.openxmlformats.org/officeDocument/2006/relationships/hyperlink" Target="https://accessibilitymb.ca/law.html" TargetMode="External" Id="rId42" /><Relationship Type="http://schemas.openxmlformats.org/officeDocument/2006/relationships/hyperlink" Target="https://www.gov.nl.ca/cssd/accessibility-act/" TargetMode="External" Id="rId47" /><Relationship Type="http://schemas.openxmlformats.org/officeDocument/2006/relationships/hyperlink" Target="https://www.canada.ca/en/employment-social-development/programs/accessible-people-disabilities/act-summary.html" TargetMode="External"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accessibilitymb.ca/law.html" TargetMode="External" Id="rId16" /><Relationship Type="http://schemas.openxmlformats.org/officeDocument/2006/relationships/hyperlink" Target="https://accessiblesk.saskatchewan.ca/" TargetMode="External" Id="rId11" /><Relationship Type="http://schemas.openxmlformats.org/officeDocument/2006/relationships/hyperlink" Target="https://www2.gnb.ca/content/gnb/en/news/news_release.2021.12.0888.html" TargetMode="External" Id="rId24" /><Relationship Type="http://schemas.openxmlformats.org/officeDocument/2006/relationships/hyperlink" Target="https://novascotia.ca/accessibility/" TargetMode="External" Id="rId32" /><Relationship Type="http://schemas.openxmlformats.org/officeDocument/2006/relationships/hyperlink" Target="https://www.gov.nl.ca/cssd/accessibility-act/" TargetMode="External" Id="rId37" /><Relationship Type="http://schemas.openxmlformats.org/officeDocument/2006/relationships/hyperlink" Target="https://www.barrierfreeab.ca/" TargetMode="External" Id="rId40" /><Relationship Type="http://schemas.openxmlformats.org/officeDocument/2006/relationships/hyperlink" Target="https://www2.gnb.ca/content/gnb/en/news/news_release.2021.12.0888.html" TargetMode="External" Id="rId45" /><Relationship Type="http://schemas.openxmlformats.org/officeDocument/2006/relationships/fontTable" Target="fontTable.xml" Id="rId53" /><Relationship Type="http://schemas.openxmlformats.org/officeDocument/2006/relationships/webSettings" Target="webSettings.xml" Id="rId5" /><Relationship Type="http://schemas.openxmlformats.org/officeDocument/2006/relationships/hyperlink" Target="https://www.bclaws.gov.bc.ca/civix/document/id/complete/statreg/21019" TargetMode="External" Id="rId10" /><Relationship Type="http://schemas.openxmlformats.org/officeDocument/2006/relationships/hyperlink" Target="https://www.aoda.ca/the-act/" TargetMode="External" Id="rId19" /><Relationship Type="http://schemas.openxmlformats.org/officeDocument/2006/relationships/hyperlink" Target="https://novascotia.ca/accessibility/" TargetMode="External" Id="rId31" /><Relationship Type="http://schemas.openxmlformats.org/officeDocument/2006/relationships/hyperlink" Target="https://www.canlii.org/en/qc/laws/stat/rsq-c-e-20.1/latest/" TargetMode="External" Id="rId44" /><Relationship Type="http://schemas.openxmlformats.org/officeDocument/2006/relationships/footer" Target="footer1.xml" Id="rId52" /><Relationship Type="http://schemas.openxmlformats.org/officeDocument/2006/relationships/settings" Target="settings.xml" Id="rId4" /><Relationship Type="http://schemas.openxmlformats.org/officeDocument/2006/relationships/hyperlink" Target="https://www.bclaws.gov.bc.ca/civix/document/id/complete/statreg/21019" TargetMode="External" Id="rId9" /><Relationship Type="http://schemas.openxmlformats.org/officeDocument/2006/relationships/hyperlink" Target="https://www.youtube.com/watch?v=n-bCdCzM5nk&amp;list=PLnJrCcfEygawAFp4d63YwRgVDtRTc4PF0&amp;index=2" TargetMode="External" Id="rId14" /><Relationship Type="http://schemas.openxmlformats.org/officeDocument/2006/relationships/hyperlink" Target="https://www.canlii.org/en/qc/laws/stat/rsq-c-e-20.1/latest/" TargetMode="External" Id="rId22" /><Relationship Type="http://schemas.openxmlformats.org/officeDocument/2006/relationships/hyperlink" Target="https://www2.gnb.ca/content/gnb/en/news/news_release.2021.12.0888.html" TargetMode="External" Id="rId27" /><Relationship Type="http://schemas.openxmlformats.org/officeDocument/2006/relationships/hyperlink" Target="https://vimeo.com/716403372/e62202c556" TargetMode="External" Id="rId35" /><Relationship Type="http://schemas.openxmlformats.org/officeDocument/2006/relationships/hyperlink" Target="https://www.aoda.ca/the-act/" TargetMode="External" Id="rId43" /><Relationship Type="http://schemas.openxmlformats.org/officeDocument/2006/relationships/hyperlink" Target="https://www.gov.nl.ca/cssd/accessibility-act/" TargetMode="External" Id="rId48" /><Relationship Type="http://schemas.openxmlformats.org/officeDocument/2006/relationships/hyperlink" Target="https://www.bclaws.gov.bc.ca/civix/document/id/complete/statreg/21019" TargetMode="External" Id="rId8" /><Relationship Type="http://schemas.openxmlformats.org/officeDocument/2006/relationships/hyperlink" Target="https://laws-lois.justice.gc.ca/eng/acts/A-0.6/" TargetMode="External" Id="rId51" /><Relationship Type="http://schemas.openxmlformats.org/officeDocument/2006/relationships/styles" Target="styles.xml" Id="rId3" /><Relationship Type="http://schemas.openxmlformats.org/officeDocument/2006/relationships/hyperlink" Target="https://accessiblesk.saskatchewan.ca/" TargetMode="External" Id="rId12" /><Relationship Type="http://schemas.openxmlformats.org/officeDocument/2006/relationships/hyperlink" Target="https://accessibilitymb.ca/law.html" TargetMode="External" Id="rId17" /><Relationship Type="http://schemas.openxmlformats.org/officeDocument/2006/relationships/hyperlink" Target="https://www2.gnb.ca/content/gnb/en/news/news_release.2021.12.0888.html" TargetMode="External" Id="rId25" /><Relationship Type="http://schemas.openxmlformats.org/officeDocument/2006/relationships/hyperlink" Target="https://novascotia.ca/accessibility/" TargetMode="External" Id="rId33" /><Relationship Type="http://schemas.openxmlformats.org/officeDocument/2006/relationships/hyperlink" Target="https://laws-lois.justice.gc.ca/eng/acts/A-0.6/" TargetMode="External" Id="rId38" /><Relationship Type="http://schemas.openxmlformats.org/officeDocument/2006/relationships/hyperlink" Target="https://novascotia.ca/accessibility/" TargetMode="External" Id="rId46" /><Relationship Type="http://schemas.openxmlformats.org/officeDocument/2006/relationships/hyperlink" Target="https://www.aoda.ca/the-act/" TargetMode="External" Id="rId20" /><Relationship Type="http://schemas.openxmlformats.org/officeDocument/2006/relationships/hyperlink" Target="https://accessiblesk.saskatchewan.ca/" TargetMode="Externa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accessibilitymb.ca/law.html" TargetMode="External" Id="rId15" /><Relationship Type="http://schemas.openxmlformats.org/officeDocument/2006/relationships/hyperlink" Target="https://www.canlii.org/en/qc/laws/stat/rsq-c-e-20.1/latest/" TargetMode="External" Id="rId23" /><Relationship Type="http://schemas.openxmlformats.org/officeDocument/2006/relationships/hyperlink" Target="https://www2.gnb.ca/content/gnb/en/news/news_release.2021.12.0888.html" TargetMode="External" Id="rId28" /><Relationship Type="http://schemas.openxmlformats.org/officeDocument/2006/relationships/hyperlink" Target="https://www.gov.nl.ca/cssd/accessibility-act/" TargetMode="External" Id="rId36" /><Relationship Type="http://schemas.openxmlformats.org/officeDocument/2006/relationships/hyperlink" Target="https://www.canada.ca/en/employment-social-development/programs/accessible-people-disabilities/act-summary.html" TargetMode="External" Id="rId49" /><Relationship Type="http://schemas.openxmlformats.org/officeDocument/2006/relationships/hyperlink" Target="https://www.legnb.ca/content/committees/accessibility_in_new_brunswick/reports/20221216Accessibilit&#233;RapporD&#201;tape.pdf" TargetMode="External" Id="Re49ce3548a024e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LGicTsHi62p33pE9Z1LcwjqUgQ==">AMUW2mUWRlaetyuf/W/USvXf/jdUXQNqMUQlzJCEL2OdTyHjJMfDup+9iqEv7/il0O4FD65B3PK31r/GGLEPkly06KiWIrNP+TLdBOdCSEfISKMqoOakd+U=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description/>
  <lastModifiedBy>Wyatt Scott</lastModifiedBy>
  <revision>4</revision>
  <dcterms:created xsi:type="dcterms:W3CDTF">2022-12-07T19:25:00.0000000Z</dcterms:created>
  <dcterms:modified xsi:type="dcterms:W3CDTF">2023-03-08T21:42:56.2083244Z</dcterms:modified>
  <category/>
</coreProperties>
</file>