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94DB" w14:textId="77777777" w:rsidR="001D5670" w:rsidRDefault="001D5670"/>
    <w:p w14:paraId="665402B3" w14:textId="70867B8F" w:rsidR="00E23419" w:rsidRPr="003C00A6" w:rsidRDefault="004D2C27" w:rsidP="00063317">
      <w:pPr>
        <w:jc w:val="center"/>
        <w:rPr>
          <w:b/>
          <w:bCs/>
          <w:sz w:val="28"/>
          <w:szCs w:val="28"/>
          <w:u w:val="single"/>
          <w:lang w:val="fr-CA"/>
        </w:rPr>
      </w:pPr>
      <w:r w:rsidRPr="004D2C27">
        <w:rPr>
          <w:b/>
          <w:bCs/>
          <w:sz w:val="28"/>
          <w:szCs w:val="28"/>
          <w:u w:val="single"/>
          <w:lang w:val="fr-CA"/>
        </w:rPr>
        <w:t>Législation provinciale en matière d'accessibilité</w:t>
      </w:r>
    </w:p>
    <w:p w14:paraId="6891CC64" w14:textId="11C638DF" w:rsidR="00063317" w:rsidRDefault="00063317">
      <w:pPr>
        <w:rPr>
          <w:lang w:val="fr-CA"/>
        </w:rPr>
      </w:pPr>
    </w:p>
    <w:p w14:paraId="170DF2B8" w14:textId="7F20CD18" w:rsidR="00E402DB" w:rsidRDefault="00E402DB">
      <w:pPr>
        <w:rPr>
          <w:lang w:val="fr-CA"/>
        </w:rPr>
      </w:pPr>
      <w:r w:rsidRPr="00E402DB">
        <w:rPr>
          <w:lang w:val="fr-CA"/>
        </w:rPr>
        <w:t>Note : Toutes les provinces mentionnées ci-dessous ont adopté des lois sur l'accessibilité. À ce jour, au 1er avril 2024, l'Alberta, le Nouveau-Brunswick et l'Île-du-Prince-Édouard ne l'ont pas encore fait.</w:t>
      </w:r>
    </w:p>
    <w:p w14:paraId="682041A4" w14:textId="77777777" w:rsidR="00E402DB" w:rsidRPr="003C00A6" w:rsidRDefault="00E402DB">
      <w:pPr>
        <w:rPr>
          <w:lang w:val="fr-CA"/>
        </w:rPr>
      </w:pPr>
    </w:p>
    <w:p w14:paraId="3AC93094" w14:textId="64A8F3C2" w:rsidR="00E23419" w:rsidRPr="008A3571" w:rsidRDefault="00E23419">
      <w:pPr>
        <w:rPr>
          <w:b/>
          <w:bCs/>
          <w:i/>
          <w:iCs/>
          <w:u w:val="single"/>
          <w:lang w:val="fr-CA"/>
        </w:rPr>
      </w:pPr>
      <w:r w:rsidRPr="008A3571">
        <w:rPr>
          <w:b/>
          <w:bCs/>
          <w:i/>
          <w:iCs/>
          <w:u w:val="single"/>
          <w:lang w:val="fr-CA"/>
        </w:rPr>
        <w:t>Manitoba</w:t>
      </w:r>
    </w:p>
    <w:p w14:paraId="27979D08" w14:textId="1F564065" w:rsidR="00DD047A" w:rsidRDefault="00DD047A">
      <w:pPr>
        <w:rPr>
          <w:lang w:val="fr-CA"/>
        </w:rPr>
      </w:pPr>
      <w:r w:rsidRPr="00DD047A">
        <w:rPr>
          <w:lang w:val="fr-CA"/>
        </w:rPr>
        <w:t>Cette loi s'applique tant au secteur public qu'au secteur privé. En appliquant cette loi, le Règlement sur la Norme d'emploi accessible a défini le "support à la communication" pour inclure la langue des signes, le sous-titrage et d'autres supports de communication alternatifs.</w:t>
      </w:r>
    </w:p>
    <w:p w14:paraId="3859B8D8" w14:textId="4ABF4A71" w:rsidR="00ED3C5F" w:rsidRPr="003C00A6" w:rsidRDefault="00000000">
      <w:pPr>
        <w:rPr>
          <w:lang w:val="fr-CA"/>
        </w:rPr>
      </w:pPr>
      <w:r>
        <w:fldChar w:fldCharType="begin"/>
      </w:r>
      <w:r w:rsidRPr="008A3571">
        <w:rPr>
          <w:lang w:val="fr-CA"/>
        </w:rPr>
        <w:instrText>HYPERLINK "https://www.canlii.org/en/mb/laws/stat/ccsm-c-a1.7/latest/attachment/a1.7.pdf"</w:instrText>
      </w:r>
      <w:r>
        <w:fldChar w:fldCharType="separate"/>
      </w:r>
      <w:r w:rsidR="00ED3C5F" w:rsidRPr="003C00A6">
        <w:rPr>
          <w:rStyle w:val="Lienhypertexte"/>
          <w:lang w:val="fr-CA"/>
        </w:rPr>
        <w:t>https://www.canlii.org/en/mb/laws/stat/ccsm-c-a1.7/latest/attachment/a1.7.pdf</w:t>
      </w:r>
      <w:r>
        <w:rPr>
          <w:rStyle w:val="Lienhypertexte"/>
          <w:lang w:val="fr-CA"/>
        </w:rPr>
        <w:fldChar w:fldCharType="end"/>
      </w:r>
    </w:p>
    <w:p w14:paraId="0BC058ED" w14:textId="0E7910B3" w:rsidR="00ED3C5F" w:rsidRPr="003C00A6" w:rsidRDefault="00000000">
      <w:pPr>
        <w:rPr>
          <w:lang w:val="fr-CA"/>
        </w:rPr>
      </w:pPr>
      <w:r>
        <w:fldChar w:fldCharType="begin"/>
      </w:r>
      <w:r w:rsidRPr="008A3571">
        <w:rPr>
          <w:lang w:val="fr-CA"/>
        </w:rPr>
        <w:instrText>HYPERLINK "https://www.canlii.org/fr/mb/legis/lois/cplm-c-a1.7/derniere/cplm-c-a1.7.html"</w:instrText>
      </w:r>
      <w:r>
        <w:fldChar w:fldCharType="separate"/>
      </w:r>
      <w:r w:rsidR="00F64118" w:rsidRPr="003C00A6">
        <w:rPr>
          <w:rStyle w:val="Lienhypertexte"/>
          <w:lang w:val="fr-CA"/>
        </w:rPr>
        <w:t>https://www.canlii.org/fr/mb/legis/lois/cplm-c-a1.7/derniere/cplm-c-a1.7.html</w:t>
      </w:r>
      <w:r>
        <w:rPr>
          <w:rStyle w:val="Lienhypertexte"/>
          <w:lang w:val="fr-CA"/>
        </w:rPr>
        <w:fldChar w:fldCharType="end"/>
      </w:r>
    </w:p>
    <w:p w14:paraId="5ADE4E44" w14:textId="66EAB319" w:rsidR="00B70253" w:rsidRPr="003C00A6" w:rsidRDefault="00B70253" w:rsidP="00B70253">
      <w:pPr>
        <w:rPr>
          <w:lang w:val="fr-CA"/>
        </w:rPr>
      </w:pPr>
      <w:r w:rsidRPr="003C00A6">
        <w:rPr>
          <w:lang w:val="fr-CA"/>
        </w:rPr>
        <w:t>Man. Le 26</w:t>
      </w:r>
      <w:r w:rsidRPr="003C00A6">
        <w:rPr>
          <w:rFonts w:cstheme="minorHAnsi"/>
          <w:lang w:val="fr-CA"/>
        </w:rPr>
        <w:t xml:space="preserve"> </w:t>
      </w:r>
      <w:r w:rsidR="00520D93" w:rsidRPr="003C00A6">
        <w:rPr>
          <w:rStyle w:val="Accentuation"/>
          <w:rFonts w:cstheme="minorHAnsi"/>
          <w:i w:val="0"/>
          <w:iCs w:val="0"/>
          <w:shd w:val="clear" w:color="auto" w:fill="FFFFFF"/>
          <w:lang w:val="fr-CA"/>
        </w:rPr>
        <w:t>février</w:t>
      </w:r>
      <w:r w:rsidRPr="003C00A6">
        <w:rPr>
          <w:lang w:val="fr-CA"/>
        </w:rPr>
        <w:t>, 2022</w:t>
      </w:r>
    </w:p>
    <w:p w14:paraId="52A3F256" w14:textId="77777777" w:rsidR="00F64118" w:rsidRPr="003C00A6" w:rsidRDefault="00F64118">
      <w:pPr>
        <w:rPr>
          <w:lang w:val="fr-CA"/>
        </w:rPr>
      </w:pPr>
    </w:p>
    <w:p w14:paraId="3F67CE9D" w14:textId="30DCC11D" w:rsidR="00AC0D0E" w:rsidRPr="008A3571" w:rsidRDefault="00AC0D0E">
      <w:pPr>
        <w:rPr>
          <w:i/>
          <w:iCs/>
          <w:lang w:val="fr-CA"/>
        </w:rPr>
      </w:pPr>
      <w:r w:rsidRPr="008A3571">
        <w:rPr>
          <w:b/>
          <w:bCs/>
          <w:i/>
          <w:iCs/>
          <w:u w:val="single"/>
          <w:lang w:val="fr-CA"/>
        </w:rPr>
        <w:t>Ontario</w:t>
      </w:r>
    </w:p>
    <w:p w14:paraId="7E2B565F" w14:textId="2BD58600" w:rsidR="00DD047A" w:rsidRDefault="00DD047A" w:rsidP="00DD047A">
      <w:pPr>
        <w:rPr>
          <w:lang w:val="fr-CA"/>
        </w:rPr>
      </w:pPr>
      <w:r w:rsidRPr="00DD047A">
        <w:rPr>
          <w:lang w:val="fr-CA"/>
        </w:rPr>
        <w:t xml:space="preserve">La </w:t>
      </w:r>
      <w:r w:rsidR="005450FF">
        <w:rPr>
          <w:lang w:val="fr-CA"/>
        </w:rPr>
        <w:t>L</w:t>
      </w:r>
      <w:r w:rsidRPr="00DD047A">
        <w:rPr>
          <w:lang w:val="fr-CA"/>
        </w:rPr>
        <w:t xml:space="preserve">oi ontarienne sur l'accessibilité pour les personnes handicapées </w:t>
      </w:r>
      <w:r w:rsidRPr="0091641D">
        <w:rPr>
          <w:lang w:val="fr-CA"/>
        </w:rPr>
        <w:t>(</w:t>
      </w:r>
      <w:r w:rsidR="005450FF" w:rsidRPr="0091641D">
        <w:rPr>
          <w:lang w:val="fr-CA"/>
        </w:rPr>
        <w:t>LOAPH</w:t>
      </w:r>
      <w:r w:rsidRPr="0091641D">
        <w:rPr>
          <w:lang w:val="fr-CA"/>
        </w:rPr>
        <w:t>)</w:t>
      </w:r>
      <w:r w:rsidRPr="00DD047A">
        <w:rPr>
          <w:lang w:val="fr-CA"/>
        </w:rPr>
        <w:t xml:space="preserve"> a été promulguée en 2005 pour définir un processus d'élaboration et d'application de normes d'accessibilité en Ontario. C'est la première province à l'avoir fait, en s'appuyant sur la loi de 2001 sur les personnes handicapées de l'Ontario. En vertu de cette loi, le gouvernement est chargé d'élaborer les normes que toutes les organisations (publiques et privées) doivent respecter. </w:t>
      </w:r>
    </w:p>
    <w:p w14:paraId="7C880B83" w14:textId="6B93E0AA" w:rsidR="00C6744A" w:rsidRDefault="00000000" w:rsidP="00DD047A">
      <w:pPr>
        <w:rPr>
          <w:color w:val="000000"/>
          <w:sz w:val="27"/>
          <w:szCs w:val="27"/>
          <w:lang w:val="fr-CA"/>
        </w:rPr>
      </w:pPr>
      <w:r>
        <w:fldChar w:fldCharType="begin"/>
      </w:r>
      <w:r w:rsidRPr="008A3571">
        <w:rPr>
          <w:lang w:val="fr-CA"/>
        </w:rPr>
        <w:instrText>HYPERLINK "https://www.ontario.ca/fr/lois/loi/05a11"</w:instrText>
      </w:r>
      <w:r>
        <w:fldChar w:fldCharType="separate"/>
      </w:r>
      <w:r w:rsidR="00C6744A" w:rsidRPr="00C6744A">
        <w:rPr>
          <w:rStyle w:val="Lienhypertexte"/>
          <w:sz w:val="27"/>
          <w:szCs w:val="27"/>
          <w:lang w:val="fr-CA"/>
        </w:rPr>
        <w:t>Accessibilité pour les personnes handicapées de l'Ontario (Loi de 2005 sur l'), L.O. 2005, chap. 11</w:t>
      </w:r>
      <w:r>
        <w:rPr>
          <w:rStyle w:val="Lienhypertexte"/>
          <w:sz w:val="27"/>
          <w:szCs w:val="27"/>
          <w:lang w:val="fr-CA"/>
        </w:rPr>
        <w:fldChar w:fldCharType="end"/>
      </w:r>
    </w:p>
    <w:p w14:paraId="47D0F829" w14:textId="0F136FAE" w:rsidR="003D3FAC" w:rsidRPr="003D3FAC" w:rsidRDefault="00000000" w:rsidP="00DD047A">
      <w:pPr>
        <w:rPr>
          <w:lang w:val="fr-CA"/>
        </w:rPr>
      </w:pPr>
      <w:r>
        <w:fldChar w:fldCharType="begin"/>
      </w:r>
      <w:r w:rsidRPr="008A3571">
        <w:rPr>
          <w:lang w:val="fr-CA"/>
        </w:rPr>
        <w:instrText>HYPERLINK "https://www.ontario.ca/fr/lois/loi/01o32" \l ":~:text=Interpr%C3%A9tation-,Objet,32%2C%20art."</w:instrText>
      </w:r>
      <w:r>
        <w:fldChar w:fldCharType="separate"/>
      </w:r>
      <w:r w:rsidR="003D3FAC" w:rsidRPr="00A30594">
        <w:rPr>
          <w:rStyle w:val="Lienhypertexte"/>
          <w:sz w:val="27"/>
          <w:szCs w:val="27"/>
          <w:lang w:val="fr-CA"/>
        </w:rPr>
        <w:t>Personnes handicapées de l'Ontario (Loi de 2001 sur les), L.O. 2001, chap. 32</w:t>
      </w:r>
      <w:r>
        <w:rPr>
          <w:rStyle w:val="Lienhypertexte"/>
          <w:sz w:val="27"/>
          <w:szCs w:val="27"/>
          <w:lang w:val="fr-CA"/>
        </w:rPr>
        <w:fldChar w:fldCharType="end"/>
      </w:r>
    </w:p>
    <w:p w14:paraId="6AAFA8A8" w14:textId="5CD8C46E" w:rsidR="00AC0D0E" w:rsidRPr="003C00A6" w:rsidRDefault="00DF5883">
      <w:pPr>
        <w:rPr>
          <w:lang w:val="fr-CA"/>
        </w:rPr>
      </w:pPr>
      <w:r w:rsidRPr="003C00A6">
        <w:rPr>
          <w:lang w:val="fr-CA"/>
        </w:rPr>
        <w:t xml:space="preserve">Ont. </w:t>
      </w:r>
      <w:r w:rsidR="003A11F5" w:rsidRPr="003C00A6">
        <w:rPr>
          <w:lang w:val="fr-CA"/>
        </w:rPr>
        <w:t>Le 13 juin, 2005</w:t>
      </w:r>
    </w:p>
    <w:p w14:paraId="6F780FBF" w14:textId="77777777" w:rsidR="00DF5883" w:rsidRPr="003C00A6" w:rsidRDefault="00DF5883">
      <w:pPr>
        <w:rPr>
          <w:lang w:val="fr-CA"/>
        </w:rPr>
      </w:pPr>
    </w:p>
    <w:p w14:paraId="305B00B3" w14:textId="5C8B832B" w:rsidR="00D43D1D" w:rsidRPr="008A3571" w:rsidRDefault="00B02DAF" w:rsidP="00D43D1D">
      <w:pPr>
        <w:rPr>
          <w:b/>
          <w:bCs/>
          <w:i/>
          <w:iCs/>
          <w:u w:val="single"/>
          <w:lang w:val="fr-CA"/>
        </w:rPr>
      </w:pPr>
      <w:r w:rsidRPr="008A3571">
        <w:rPr>
          <w:b/>
          <w:bCs/>
          <w:i/>
          <w:iCs/>
          <w:u w:val="single"/>
          <w:lang w:val="fr-CA"/>
        </w:rPr>
        <w:t>Québec</w:t>
      </w:r>
    </w:p>
    <w:p w14:paraId="7C605E9B" w14:textId="77777777" w:rsidR="00DD047A" w:rsidRPr="00DD047A" w:rsidRDefault="00DD047A" w:rsidP="00DD047A">
      <w:pPr>
        <w:rPr>
          <w:rFonts w:cstheme="minorHAnsi"/>
          <w:shd w:val="clear" w:color="auto" w:fill="FFFFFF"/>
          <w:lang w:val="fr-CA"/>
        </w:rPr>
      </w:pPr>
      <w:r w:rsidRPr="00DD047A">
        <w:rPr>
          <w:rFonts w:cstheme="minorHAnsi"/>
          <w:shd w:val="clear" w:color="auto" w:fill="FFFFFF"/>
          <w:lang w:val="fr-CA"/>
        </w:rPr>
        <w:t>En 2004, le Québec a promulgué de vastes amendements à la loi visant à garantir aux personnes handicapées l'exercice de leurs droits en vue de leur intégration sociale, scolaire et professionnelle, modifiant ainsi cette même loi promulguée en 1978. Contrairement aux autres lois provinciales sur l'accessibilité examinées dans cette section, cette loi ne s'applique pas au secteur privé et ne fixe pas d'échéances en matière d'accessibilité.</w:t>
      </w:r>
    </w:p>
    <w:p w14:paraId="55C3A06A" w14:textId="250C8267" w:rsidR="00D43D1D" w:rsidRPr="003C00A6" w:rsidRDefault="00000000" w:rsidP="00D43D1D">
      <w:pPr>
        <w:rPr>
          <w:lang w:val="fr-CA"/>
        </w:rPr>
      </w:pPr>
      <w:r>
        <w:fldChar w:fldCharType="begin"/>
      </w:r>
      <w:r w:rsidRPr="008A3571">
        <w:rPr>
          <w:lang w:val="fr-CA"/>
        </w:rPr>
        <w:instrText>HYPERLINK "https://www.canlii.org/fr/qc/legis/lois/rlrq-c-e-20.1/derniere/rlrq-c-e-20.1.html"</w:instrText>
      </w:r>
      <w:r>
        <w:fldChar w:fldCharType="separate"/>
      </w:r>
      <w:r w:rsidR="0091641D" w:rsidRPr="000F3F42">
        <w:rPr>
          <w:rStyle w:val="Lienhypertexte"/>
          <w:lang w:val="fr-CA"/>
        </w:rPr>
        <w:t>https://www.canlii.org/fr/qc/legis/lois/rlrq-c-e-20.1/derniere/rlrq-c-e-20.1.html</w:t>
      </w:r>
      <w:r>
        <w:rPr>
          <w:rStyle w:val="Lienhypertexte"/>
          <w:lang w:val="fr-CA"/>
        </w:rPr>
        <w:fldChar w:fldCharType="end"/>
      </w:r>
    </w:p>
    <w:p w14:paraId="4CEDDC1F" w14:textId="2325F4EE" w:rsidR="00D43D1D" w:rsidRPr="003C00A6" w:rsidRDefault="00D10DE2" w:rsidP="00D43D1D">
      <w:pPr>
        <w:rPr>
          <w:rFonts w:cstheme="minorHAnsi"/>
          <w:u w:val="single"/>
          <w:shd w:val="clear" w:color="auto" w:fill="FFFFFF"/>
          <w:lang w:val="fr-CA"/>
        </w:rPr>
      </w:pPr>
      <w:r w:rsidRPr="003C00A6">
        <w:rPr>
          <w:lang w:val="fr-CA"/>
        </w:rPr>
        <w:lastRenderedPageBreak/>
        <w:t>Qué</w:t>
      </w:r>
      <w:r w:rsidR="00D43D1D" w:rsidRPr="003C00A6">
        <w:rPr>
          <w:lang w:val="fr-CA"/>
        </w:rPr>
        <w:t xml:space="preserve">. </w:t>
      </w:r>
      <w:r w:rsidR="00C03071" w:rsidRPr="003C00A6">
        <w:rPr>
          <w:lang w:val="fr-CA"/>
        </w:rPr>
        <w:t xml:space="preserve">Le </w:t>
      </w:r>
      <w:r w:rsidR="00D43D1D" w:rsidRPr="003C00A6">
        <w:rPr>
          <w:lang w:val="fr-CA"/>
        </w:rPr>
        <w:t>15</w:t>
      </w:r>
      <w:r w:rsidR="00C03071" w:rsidRPr="003C00A6">
        <w:rPr>
          <w:lang w:val="fr-CA"/>
        </w:rPr>
        <w:t xml:space="preserve"> juin</w:t>
      </w:r>
      <w:r w:rsidR="00D43D1D" w:rsidRPr="003C00A6">
        <w:rPr>
          <w:lang w:val="fr-CA"/>
        </w:rPr>
        <w:t>, 2020</w:t>
      </w:r>
    </w:p>
    <w:p w14:paraId="293C2F5A" w14:textId="77777777" w:rsidR="00AC0D0E" w:rsidRPr="003C00A6" w:rsidRDefault="00AC0D0E">
      <w:pPr>
        <w:rPr>
          <w:lang w:val="fr-CA"/>
        </w:rPr>
      </w:pPr>
    </w:p>
    <w:p w14:paraId="04A49E11" w14:textId="77777777" w:rsidR="000C7595" w:rsidRPr="005450FF" w:rsidRDefault="000C7595" w:rsidP="00B677F1">
      <w:pPr>
        <w:rPr>
          <w:lang w:val="fr-FR"/>
        </w:rPr>
      </w:pPr>
    </w:p>
    <w:p w14:paraId="138142B9" w14:textId="73299DC9" w:rsidR="000C7595" w:rsidRPr="008A3571" w:rsidRDefault="00BC72AA" w:rsidP="000C7595">
      <w:pPr>
        <w:rPr>
          <w:b/>
          <w:bCs/>
          <w:i/>
          <w:iCs/>
          <w:u w:val="single"/>
          <w:lang w:val="fr-CA"/>
        </w:rPr>
      </w:pPr>
      <w:r w:rsidRPr="008A3571">
        <w:rPr>
          <w:b/>
          <w:bCs/>
          <w:i/>
          <w:iCs/>
          <w:u w:val="single"/>
          <w:lang w:val="fr-CA"/>
        </w:rPr>
        <w:t xml:space="preserve">Colombie Britannique </w:t>
      </w:r>
    </w:p>
    <w:p w14:paraId="0558DE17" w14:textId="18FAD846" w:rsidR="00E573D1" w:rsidRDefault="00E573D1" w:rsidP="00B677F1">
      <w:pPr>
        <w:rPr>
          <w:lang w:val="fr-FR"/>
        </w:rPr>
      </w:pPr>
      <w:r w:rsidRPr="0091641D">
        <w:rPr>
          <w:lang w:val="fr-FR"/>
        </w:rPr>
        <w:t>La loi reconnaît les langues des signes (langue des signes américaine et langues des signes autochtones) comme les langues principales de communication pour les personnes sourdes dans la province. Cependant, cette loi ne s'applique pas au secteur privé dans cette province.</w:t>
      </w:r>
    </w:p>
    <w:p w14:paraId="5554F729" w14:textId="1E971245" w:rsidR="00BC72AA" w:rsidRPr="00E573D1" w:rsidRDefault="00000000" w:rsidP="00B677F1">
      <w:pPr>
        <w:rPr>
          <w:lang w:val="fr-FR"/>
        </w:rPr>
      </w:pPr>
      <w:r>
        <w:fldChar w:fldCharType="begin"/>
      </w:r>
      <w:r w:rsidRPr="008A3571">
        <w:rPr>
          <w:lang w:val="fr-CA"/>
        </w:rPr>
        <w:instrText>HYPERLINK "https://www.canlii.org/en/bc/laws/stat/sbc-2021-c-19/latest/sbc-2021-c-19.html"</w:instrText>
      </w:r>
      <w:r>
        <w:fldChar w:fldCharType="separate"/>
      </w:r>
      <w:r w:rsidR="00BC72AA">
        <w:rPr>
          <w:rStyle w:val="Lienhypertexte"/>
          <w:lang w:val="fr-FR"/>
        </w:rPr>
        <w:t xml:space="preserve">Accessible British Columbia </w:t>
      </w:r>
      <w:proofErr w:type="spellStart"/>
      <w:r w:rsidR="00BC72AA">
        <w:rPr>
          <w:rStyle w:val="Lienhypertexte"/>
          <w:lang w:val="fr-FR"/>
        </w:rPr>
        <w:t>Act</w:t>
      </w:r>
      <w:proofErr w:type="spellEnd"/>
      <w:r w:rsidR="00FD0B12">
        <w:rPr>
          <w:rStyle w:val="Lienhypertexte"/>
          <w:lang w:val="fr-FR"/>
        </w:rPr>
        <w:t xml:space="preserve">, 2021 </w:t>
      </w:r>
      <w:r w:rsidR="00BC72AA" w:rsidRPr="00D16A05">
        <w:rPr>
          <w:rStyle w:val="Lienhypertexte"/>
          <w:lang w:val="fr-FR"/>
        </w:rPr>
        <w:t>(En anglais seulement)</w:t>
      </w:r>
      <w:r>
        <w:rPr>
          <w:rStyle w:val="Lienhypertexte"/>
          <w:lang w:val="fr-FR"/>
        </w:rPr>
        <w:fldChar w:fldCharType="end"/>
      </w:r>
      <w:r w:rsidR="00BC72AA">
        <w:rPr>
          <w:lang w:val="fr-FR"/>
        </w:rPr>
        <w:t xml:space="preserve"> </w:t>
      </w:r>
    </w:p>
    <w:p w14:paraId="3242076F" w14:textId="0701097D" w:rsidR="000C7595" w:rsidRPr="008A3571" w:rsidRDefault="000C7595">
      <w:pPr>
        <w:rPr>
          <w:b/>
          <w:bCs/>
          <w:i/>
          <w:iCs/>
          <w:strike/>
          <w:u w:val="single"/>
          <w:lang w:val="fr-FR"/>
        </w:rPr>
      </w:pPr>
      <w:r w:rsidRPr="008A3571">
        <w:rPr>
          <w:b/>
          <w:bCs/>
          <w:i/>
          <w:iCs/>
          <w:u w:val="single"/>
          <w:lang w:val="fr-FR"/>
        </w:rPr>
        <w:t xml:space="preserve">Saskatchewan </w:t>
      </w:r>
    </w:p>
    <w:p w14:paraId="0DDD5BEC" w14:textId="5C2AC467" w:rsidR="00C962B7" w:rsidRDefault="00C962B7">
      <w:pPr>
        <w:rPr>
          <w:lang w:val="fr-FR"/>
        </w:rPr>
      </w:pPr>
      <w:r w:rsidRPr="00B81AD1">
        <w:rPr>
          <w:lang w:val="fr-FR"/>
        </w:rPr>
        <w:t xml:space="preserve">La législation de la Saskatchewan n'est pas destinée à s'appliquer au secteur privé. La Saskatchewan envisage que le gouvernement et ses organismes donneront l'exemple avant de considérer élargir l'application de cette loi. La loi reconnaît la LSQ et les LSAs (Langues des signes </w:t>
      </w:r>
      <w:r w:rsidR="0091641D" w:rsidRPr="00B81AD1">
        <w:rPr>
          <w:lang w:val="fr-FR"/>
        </w:rPr>
        <w:t>autochtones) comme</w:t>
      </w:r>
      <w:r w:rsidRPr="00B81AD1">
        <w:rPr>
          <w:lang w:val="fr-FR"/>
        </w:rPr>
        <w:t xml:space="preserve"> les langues principales de communication des personnes sourdes dans la province.</w:t>
      </w:r>
    </w:p>
    <w:p w14:paraId="3B192792" w14:textId="57C727A6" w:rsidR="0058661D" w:rsidRPr="008A3571" w:rsidRDefault="00000000">
      <w:pPr>
        <w:rPr>
          <w:lang w:val="fr-CA"/>
        </w:rPr>
      </w:pPr>
      <w:r>
        <w:fldChar w:fldCharType="begin"/>
      </w:r>
      <w:r w:rsidRPr="008A3571">
        <w:rPr>
          <w:lang w:val="fr-CA"/>
        </w:rPr>
        <w:instrText>HYPERLINK "https://www.canlii.org/en/sk/laws/astat/ss-2023-c-19/latest/ss-2023-c-19.html"</w:instrText>
      </w:r>
      <w:r>
        <w:fldChar w:fldCharType="separate"/>
      </w:r>
      <w:r w:rsidR="0058661D" w:rsidRPr="008A3571">
        <w:rPr>
          <w:rStyle w:val="Lienhypertexte"/>
          <w:lang w:val="fr-CA"/>
        </w:rPr>
        <w:t>Accessible Saskatchewan Act, SS 2023 (En anglais seulement)</w:t>
      </w:r>
      <w:r>
        <w:rPr>
          <w:rStyle w:val="Lienhypertexte"/>
          <w:lang w:val="en-US"/>
        </w:rPr>
        <w:fldChar w:fldCharType="end"/>
      </w:r>
    </w:p>
    <w:p w14:paraId="72D77B80" w14:textId="46D149C1" w:rsidR="001B2739" w:rsidRPr="008A3571" w:rsidRDefault="000C7595">
      <w:pPr>
        <w:rPr>
          <w:lang w:val="fr-CA"/>
        </w:rPr>
      </w:pPr>
      <w:r w:rsidRPr="008A3571">
        <w:rPr>
          <w:lang w:val="fr-CA"/>
        </w:rPr>
        <w:t>Sask. May 17, 2023</w:t>
      </w:r>
    </w:p>
    <w:p w14:paraId="0737805B" w14:textId="26388DC9" w:rsidR="001B2739" w:rsidRPr="008A3571" w:rsidRDefault="00BC72AA">
      <w:pPr>
        <w:rPr>
          <w:b/>
          <w:bCs/>
          <w:i/>
          <w:iCs/>
          <w:u w:val="single"/>
          <w:lang w:val="fr-CA"/>
        </w:rPr>
      </w:pPr>
      <w:r w:rsidRPr="008A3571">
        <w:rPr>
          <w:b/>
          <w:bCs/>
          <w:i/>
          <w:iCs/>
          <w:u w:val="single"/>
          <w:lang w:val="fr-CA"/>
        </w:rPr>
        <w:t>Terre-Neuve et Labrador</w:t>
      </w:r>
      <w:r w:rsidRPr="008A3571">
        <w:rPr>
          <w:b/>
          <w:bCs/>
          <w:i/>
          <w:iCs/>
          <w:strike/>
          <w:u w:val="single"/>
          <w:lang w:val="fr-CA"/>
        </w:rPr>
        <w:t xml:space="preserve"> </w:t>
      </w:r>
    </w:p>
    <w:p w14:paraId="5EAB53D1" w14:textId="4200C04A" w:rsidR="00C962B7" w:rsidRDefault="00C962B7">
      <w:pPr>
        <w:rPr>
          <w:lang w:val="fr-FR"/>
        </w:rPr>
      </w:pPr>
      <w:r w:rsidRPr="0091641D">
        <w:rPr>
          <w:lang w:val="fr-FR"/>
        </w:rPr>
        <w:t>Cette loi s'applique aux secteurs privé et public et établit des normes d'accessibilité. Cependant, contrairement aux autres lois provinciales d'accessibilité complètes, elle ne précise pas de date cible à laquelle toutes les normes d'accessibilité doivent être respectées ; elle prévoit plutôt une révision statutaire dans les cinq ans. Comme la loi de la Colombie-Britannique, cette législation reconnaît également la langue des signes (langue des signes américaine et langues des signes autochtones).</w:t>
      </w:r>
    </w:p>
    <w:p w14:paraId="130390C1" w14:textId="37A82737" w:rsidR="001B2739" w:rsidRPr="008A3571" w:rsidRDefault="00000000">
      <w:pPr>
        <w:rPr>
          <w:lang w:val="fr-CA"/>
        </w:rPr>
      </w:pPr>
      <w:r>
        <w:fldChar w:fldCharType="begin"/>
      </w:r>
      <w:r w:rsidRPr="008A3571">
        <w:rPr>
          <w:lang w:val="fr-CA"/>
        </w:rPr>
        <w:instrText>HYPERLINK "https://www.canlii.org/en/nl/laws/stat/snl-2021-c-a-1.001/latest/snl-2021-c-a-1.001.html"</w:instrText>
      </w:r>
      <w:r>
        <w:fldChar w:fldCharType="separate"/>
      </w:r>
      <w:r w:rsidR="00F52E14" w:rsidRPr="008A3571">
        <w:rPr>
          <w:rStyle w:val="Lienhypertexte"/>
          <w:lang w:val="fr-CA"/>
        </w:rPr>
        <w:t>Accessibility Act, SNL 2021 (En anglais seulement)</w:t>
      </w:r>
      <w:r>
        <w:rPr>
          <w:rStyle w:val="Lienhypertexte"/>
          <w:lang w:val="en-US"/>
        </w:rPr>
        <w:fldChar w:fldCharType="end"/>
      </w:r>
    </w:p>
    <w:p w14:paraId="58965C02" w14:textId="35BA219C" w:rsidR="001B2739" w:rsidRPr="008A3571" w:rsidRDefault="001B2739">
      <w:pPr>
        <w:rPr>
          <w:b/>
          <w:bCs/>
          <w:i/>
          <w:iCs/>
          <w:u w:val="single"/>
          <w:lang w:val="fr-CA"/>
        </w:rPr>
      </w:pPr>
      <w:r w:rsidRPr="008A3571">
        <w:rPr>
          <w:b/>
          <w:bCs/>
          <w:i/>
          <w:iCs/>
          <w:u w:val="single"/>
          <w:lang w:val="fr-CA"/>
        </w:rPr>
        <w:t>No</w:t>
      </w:r>
      <w:r w:rsidR="00BC72AA" w:rsidRPr="008A3571">
        <w:rPr>
          <w:b/>
          <w:bCs/>
          <w:i/>
          <w:iCs/>
          <w:u w:val="single"/>
          <w:lang w:val="fr-CA"/>
        </w:rPr>
        <w:t>uvelle Ecosse</w:t>
      </w:r>
    </w:p>
    <w:p w14:paraId="1ACC4CB2" w14:textId="30C685E5" w:rsidR="00BC72AA" w:rsidRPr="00BC72AA" w:rsidRDefault="00BC72AA">
      <w:pPr>
        <w:rPr>
          <w:lang w:val="fr-FR"/>
        </w:rPr>
      </w:pPr>
      <w:r w:rsidRPr="0091641D">
        <w:rPr>
          <w:lang w:val="fr-FR"/>
        </w:rPr>
        <w:t>Cette loi s'applique aux secteurs privé et public et établit des normes d'accessibilité.</w:t>
      </w:r>
    </w:p>
    <w:p w14:paraId="3A857E3D" w14:textId="7EF0D73C" w:rsidR="00C962B7" w:rsidRPr="00C962B7" w:rsidRDefault="00000000">
      <w:hyperlink r:id="rId4" w:history="1">
        <w:r w:rsidR="00C962B7" w:rsidRPr="00C962B7">
          <w:rPr>
            <w:color w:val="0000FF"/>
            <w:u w:val="single"/>
          </w:rPr>
          <w:t xml:space="preserve">(1) Bill No. 59: An Act Respecting Accessibility </w:t>
        </w:r>
        <w:proofErr w:type="gramStart"/>
        <w:r w:rsidR="00C962B7" w:rsidRPr="00C962B7">
          <w:rPr>
            <w:color w:val="0000FF"/>
            <w:u w:val="single"/>
          </w:rPr>
          <w:t>In</w:t>
        </w:r>
        <w:proofErr w:type="gramEnd"/>
        <w:r w:rsidR="00C962B7" w:rsidRPr="00C962B7">
          <w:rPr>
            <w:color w:val="0000FF"/>
            <w:u w:val="single"/>
          </w:rPr>
          <w:t xml:space="preserve"> NS (ASL) </w:t>
        </w:r>
        <w:r w:rsidR="00C962B7">
          <w:rPr>
            <w:color w:val="0000FF"/>
            <w:u w:val="single"/>
          </w:rPr>
          <w:t>–</w:t>
        </w:r>
        <w:r w:rsidR="00C962B7" w:rsidRPr="00C962B7">
          <w:rPr>
            <w:color w:val="0000FF"/>
            <w:u w:val="single"/>
          </w:rPr>
          <w:t xml:space="preserve"> YouTub</w:t>
        </w:r>
        <w:r w:rsidR="00C962B7">
          <w:rPr>
            <w:color w:val="0000FF"/>
            <w:u w:val="single"/>
          </w:rPr>
          <w:t xml:space="preserve">e (En ASL </w:t>
        </w:r>
        <w:proofErr w:type="spellStart"/>
        <w:r w:rsidR="00C962B7">
          <w:rPr>
            <w:color w:val="0000FF"/>
            <w:u w:val="single"/>
          </w:rPr>
          <w:t>seulement</w:t>
        </w:r>
        <w:proofErr w:type="spellEnd"/>
        <w:r w:rsidR="00C962B7">
          <w:rPr>
            <w:color w:val="0000FF"/>
            <w:u w:val="single"/>
          </w:rPr>
          <w:t>)</w:t>
        </w:r>
      </w:hyperlink>
      <w:r w:rsidR="00C962B7">
        <w:t xml:space="preserve"> </w:t>
      </w:r>
    </w:p>
    <w:p w14:paraId="5AB87B36" w14:textId="57ED24B6" w:rsidR="009D7E29" w:rsidRPr="00E573D1" w:rsidRDefault="00C962B7">
      <w:pPr>
        <w:rPr>
          <w:lang w:val="fr-FR"/>
        </w:rPr>
      </w:pPr>
      <w:r>
        <w:rPr>
          <w:lang w:val="fr-FR"/>
        </w:rPr>
        <w:t>NE</w:t>
      </w:r>
      <w:r w:rsidR="00BC72AA">
        <w:rPr>
          <w:lang w:val="fr-FR"/>
        </w:rPr>
        <w:t>, Septembre 18, 2017</w:t>
      </w:r>
    </w:p>
    <w:p w14:paraId="196B9370" w14:textId="77777777" w:rsidR="009D7E29" w:rsidRDefault="009D7E29"/>
    <w:p w14:paraId="5D01FD1C" w14:textId="77777777" w:rsidR="00356BC3" w:rsidRDefault="00356BC3"/>
    <w:p w14:paraId="61BA359B" w14:textId="77777777" w:rsidR="00E23419" w:rsidRDefault="00E23419"/>
    <w:sectPr w:rsidR="00E234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9"/>
    <w:rsid w:val="00023404"/>
    <w:rsid w:val="00063317"/>
    <w:rsid w:val="00083020"/>
    <w:rsid w:val="000A4DA4"/>
    <w:rsid w:val="000C7595"/>
    <w:rsid w:val="00107BB1"/>
    <w:rsid w:val="00162C74"/>
    <w:rsid w:val="001922E8"/>
    <w:rsid w:val="001B2739"/>
    <w:rsid w:val="001D5670"/>
    <w:rsid w:val="00241DE2"/>
    <w:rsid w:val="002C038B"/>
    <w:rsid w:val="00352734"/>
    <w:rsid w:val="00356BC3"/>
    <w:rsid w:val="003A11F5"/>
    <w:rsid w:val="003C00A6"/>
    <w:rsid w:val="003D3FAC"/>
    <w:rsid w:val="003F6795"/>
    <w:rsid w:val="004019F3"/>
    <w:rsid w:val="004170C0"/>
    <w:rsid w:val="004D2C27"/>
    <w:rsid w:val="00520D93"/>
    <w:rsid w:val="00521F9F"/>
    <w:rsid w:val="00531447"/>
    <w:rsid w:val="005450FF"/>
    <w:rsid w:val="00552DC4"/>
    <w:rsid w:val="00556003"/>
    <w:rsid w:val="0058661D"/>
    <w:rsid w:val="00596C29"/>
    <w:rsid w:val="00630440"/>
    <w:rsid w:val="00767C3D"/>
    <w:rsid w:val="00816380"/>
    <w:rsid w:val="008A3571"/>
    <w:rsid w:val="0091641D"/>
    <w:rsid w:val="00983053"/>
    <w:rsid w:val="009D7E29"/>
    <w:rsid w:val="009E06D5"/>
    <w:rsid w:val="00A30594"/>
    <w:rsid w:val="00A53426"/>
    <w:rsid w:val="00A97265"/>
    <w:rsid w:val="00AC0D0E"/>
    <w:rsid w:val="00AD3F62"/>
    <w:rsid w:val="00B02DAF"/>
    <w:rsid w:val="00B23D26"/>
    <w:rsid w:val="00B677F1"/>
    <w:rsid w:val="00B70253"/>
    <w:rsid w:val="00B81AD1"/>
    <w:rsid w:val="00BC72AA"/>
    <w:rsid w:val="00C03071"/>
    <w:rsid w:val="00C3496E"/>
    <w:rsid w:val="00C6744A"/>
    <w:rsid w:val="00C962B7"/>
    <w:rsid w:val="00CA6BF1"/>
    <w:rsid w:val="00CB3C24"/>
    <w:rsid w:val="00CD7D2C"/>
    <w:rsid w:val="00CE6402"/>
    <w:rsid w:val="00D10DE2"/>
    <w:rsid w:val="00D43D1D"/>
    <w:rsid w:val="00D613A2"/>
    <w:rsid w:val="00DD047A"/>
    <w:rsid w:val="00DF5883"/>
    <w:rsid w:val="00E23419"/>
    <w:rsid w:val="00E402DB"/>
    <w:rsid w:val="00E573D1"/>
    <w:rsid w:val="00ED3C5F"/>
    <w:rsid w:val="00F506DE"/>
    <w:rsid w:val="00F52E14"/>
    <w:rsid w:val="00F64118"/>
    <w:rsid w:val="00FD0B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D76D"/>
  <w15:chartTrackingRefBased/>
  <w15:docId w15:val="{CB4B99CB-E4F4-4297-863E-E2D6C1B5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3C5F"/>
    <w:rPr>
      <w:color w:val="0563C1" w:themeColor="hyperlink"/>
      <w:u w:val="single"/>
    </w:rPr>
  </w:style>
  <w:style w:type="character" w:styleId="Mentionnonrsolue">
    <w:name w:val="Unresolved Mention"/>
    <w:basedOn w:val="Policepardfaut"/>
    <w:uiPriority w:val="99"/>
    <w:semiHidden/>
    <w:unhideWhenUsed/>
    <w:rsid w:val="00ED3C5F"/>
    <w:rPr>
      <w:color w:val="605E5C"/>
      <w:shd w:val="clear" w:color="auto" w:fill="E1DFDD"/>
    </w:rPr>
  </w:style>
  <w:style w:type="character" w:styleId="Accentuation">
    <w:name w:val="Emphasis"/>
    <w:basedOn w:val="Policepardfaut"/>
    <w:uiPriority w:val="20"/>
    <w:qFormat/>
    <w:rsid w:val="00D43D1D"/>
    <w:rPr>
      <w:i/>
      <w:iCs/>
    </w:rPr>
  </w:style>
  <w:style w:type="character" w:styleId="Lienhypertextesuivivisit">
    <w:name w:val="FollowedHyperlink"/>
    <w:basedOn w:val="Policepardfaut"/>
    <w:uiPriority w:val="99"/>
    <w:semiHidden/>
    <w:unhideWhenUsed/>
    <w:rsid w:val="00767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1131">
      <w:bodyDiv w:val="1"/>
      <w:marLeft w:val="0"/>
      <w:marRight w:val="0"/>
      <w:marTop w:val="0"/>
      <w:marBottom w:val="0"/>
      <w:divBdr>
        <w:top w:val="none" w:sz="0" w:space="0" w:color="auto"/>
        <w:left w:val="none" w:sz="0" w:space="0" w:color="auto"/>
        <w:bottom w:val="none" w:sz="0" w:space="0" w:color="auto"/>
        <w:right w:val="none" w:sz="0" w:space="0" w:color="auto"/>
      </w:divBdr>
    </w:div>
    <w:div w:id="13132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playlist?list=PLwLZ9YtgHtLAvbujOfto5Sj_7O3HS8A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659</Words>
  <Characters>3757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Simser</dc:creator>
  <cp:keywords/>
  <dc:description/>
  <cp:lastModifiedBy>Charles-Maximilien Gros</cp:lastModifiedBy>
  <cp:revision>26</cp:revision>
  <cp:lastPrinted>2024-04-11T18:22:00Z</cp:lastPrinted>
  <dcterms:created xsi:type="dcterms:W3CDTF">2024-04-09T19:38:00Z</dcterms:created>
  <dcterms:modified xsi:type="dcterms:W3CDTF">2024-04-18T15:46:00Z</dcterms:modified>
</cp:coreProperties>
</file>